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A4DF2" w14:textId="77777777" w:rsidR="0077776E" w:rsidRDefault="0077776E" w:rsidP="00347E84">
      <w:pPr>
        <w:jc w:val="center"/>
        <w:rPr>
          <w:b/>
          <w:sz w:val="28"/>
          <w:szCs w:val="28"/>
          <w:lang w:val="en-GB"/>
        </w:rPr>
      </w:pPr>
    </w:p>
    <w:p w14:paraId="6491407E" w14:textId="6C6E10E0" w:rsidR="006F5FD0" w:rsidRPr="00B33EE6" w:rsidRDefault="006F5FD0" w:rsidP="00347E84">
      <w:pPr>
        <w:jc w:val="center"/>
        <w:rPr>
          <w:rStyle w:val="Strong"/>
          <w:sz w:val="28"/>
          <w:szCs w:val="28"/>
          <w:lang w:val="en-GB"/>
        </w:rPr>
      </w:pPr>
      <w:r w:rsidRPr="00B33EE6">
        <w:rPr>
          <w:b/>
          <w:sz w:val="28"/>
          <w:szCs w:val="28"/>
          <w:lang w:val="en-GB"/>
        </w:rPr>
        <w:t>S</w:t>
      </w:r>
      <w:r w:rsidR="00DE3C11">
        <w:rPr>
          <w:b/>
          <w:sz w:val="28"/>
          <w:szCs w:val="28"/>
          <w:lang w:val="en-GB"/>
        </w:rPr>
        <w:t>UPPLY</w:t>
      </w:r>
      <w:r w:rsidRPr="00B33EE6">
        <w:rPr>
          <w:b/>
          <w:sz w:val="28"/>
          <w:szCs w:val="28"/>
          <w:lang w:val="en-GB"/>
        </w:rPr>
        <w:t xml:space="preserve"> </w:t>
      </w:r>
      <w:r w:rsidR="00FA17FC" w:rsidRPr="00B33EE6">
        <w:rPr>
          <w:b/>
          <w:sz w:val="28"/>
          <w:szCs w:val="28"/>
          <w:lang w:val="en-GB"/>
        </w:rPr>
        <w:t xml:space="preserve">CONTRACT </w:t>
      </w:r>
      <w:r w:rsidRPr="00B33EE6">
        <w:rPr>
          <w:b/>
          <w:sz w:val="28"/>
          <w:szCs w:val="28"/>
          <w:lang w:val="en-GB"/>
        </w:rPr>
        <w:t>NOTICE</w:t>
      </w:r>
    </w:p>
    <w:p w14:paraId="3363FF0F" w14:textId="003444B5" w:rsidR="006F5FD0" w:rsidRDefault="00D64A4E" w:rsidP="00347E84">
      <w:pPr>
        <w:jc w:val="center"/>
        <w:rPr>
          <w:rStyle w:val="Strong"/>
          <w:sz w:val="28"/>
          <w:szCs w:val="28"/>
          <w:lang w:val="en-GB"/>
        </w:rPr>
      </w:pPr>
      <w:r>
        <w:rPr>
          <w:rStyle w:val="Strong"/>
          <w:sz w:val="28"/>
          <w:szCs w:val="28"/>
          <w:lang w:val="en-GB"/>
        </w:rPr>
        <w:t>Supply of materials for portable</w:t>
      </w:r>
      <w:r w:rsidR="00D56AF9">
        <w:rPr>
          <w:rStyle w:val="Strong"/>
          <w:sz w:val="28"/>
          <w:szCs w:val="28"/>
          <w:lang w:val="en-GB"/>
        </w:rPr>
        <w:t xml:space="preserve"> promotional points (act.2.4.1)</w:t>
      </w:r>
      <w:r w:rsidR="006F5FD0" w:rsidRPr="00B33EE6">
        <w:rPr>
          <w:rStyle w:val="Strong"/>
          <w:sz w:val="28"/>
          <w:szCs w:val="28"/>
          <w:lang w:val="en-GB"/>
        </w:rPr>
        <w:br/>
      </w:r>
      <w:r w:rsidR="00D56AF9">
        <w:rPr>
          <w:rStyle w:val="Strong"/>
          <w:sz w:val="28"/>
          <w:szCs w:val="28"/>
          <w:lang w:val="en-GB"/>
        </w:rPr>
        <w:t xml:space="preserve">Resen, Republic of North Macedonia </w:t>
      </w:r>
    </w:p>
    <w:p w14:paraId="12DEBE16" w14:textId="77777777" w:rsidR="00D56AF9" w:rsidRPr="00B33EE6" w:rsidRDefault="00D56AF9" w:rsidP="00347E84">
      <w:pPr>
        <w:jc w:val="center"/>
        <w:rPr>
          <w:sz w:val="28"/>
          <w:szCs w:val="28"/>
          <w:lang w:val="en-GB"/>
        </w:rPr>
      </w:pPr>
    </w:p>
    <w:p w14:paraId="1BE20B1E" w14:textId="77777777" w:rsidR="006F5FD0" w:rsidRPr="00B33EE6" w:rsidRDefault="007727F3" w:rsidP="00371C5B">
      <w:pPr>
        <w:keepNext/>
        <w:widowControl/>
        <w:spacing w:before="240" w:after="120"/>
        <w:ind w:left="284" w:hanging="284"/>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53D6C5F8" w:rsidR="006F5FD0" w:rsidRPr="00496719" w:rsidRDefault="00D56AF9" w:rsidP="00371C5B">
      <w:pPr>
        <w:pStyle w:val="Blockquote"/>
        <w:spacing w:before="40" w:after="60"/>
        <w:ind w:left="284" w:right="0"/>
        <w:rPr>
          <w:i/>
          <w:sz w:val="22"/>
          <w:szCs w:val="22"/>
          <w:lang w:val="en-GB"/>
        </w:rPr>
      </w:pPr>
      <w:r w:rsidRPr="00496719">
        <w:rPr>
          <w:rStyle w:val="Emphasis"/>
          <w:i w:val="0"/>
          <w:sz w:val="22"/>
          <w:szCs w:val="22"/>
          <w:lang w:val="en-GB"/>
        </w:rPr>
        <w:t>Cultu</w:t>
      </w:r>
      <w:r w:rsidR="00496719" w:rsidRPr="00496719">
        <w:rPr>
          <w:rStyle w:val="Emphasis"/>
          <w:i w:val="0"/>
          <w:sz w:val="22"/>
          <w:szCs w:val="22"/>
          <w:lang w:val="en-GB"/>
        </w:rPr>
        <w:t>ral Spaces for All, 09- 1684/1</w:t>
      </w:r>
    </w:p>
    <w:p w14:paraId="7A3797D8" w14:textId="77777777" w:rsidR="006F5FD0" w:rsidRPr="00371C5B" w:rsidRDefault="007727F3" w:rsidP="00371C5B">
      <w:pPr>
        <w:keepNext/>
        <w:widowControl/>
        <w:spacing w:before="240" w:after="120"/>
        <w:ind w:left="284" w:hanging="284"/>
        <w:outlineLvl w:val="0"/>
        <w:rPr>
          <w:rStyle w:val="Strong"/>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5F9DA88E" w:rsidR="006F5FD0" w:rsidRPr="00B33EE6" w:rsidRDefault="00F60220" w:rsidP="00371C5B">
      <w:pPr>
        <w:pStyle w:val="Blockquote"/>
        <w:spacing w:before="40" w:after="60"/>
        <w:ind w:left="284" w:right="0"/>
        <w:rPr>
          <w:sz w:val="22"/>
          <w:szCs w:val="22"/>
          <w:lang w:val="en-GB"/>
        </w:rPr>
      </w:pPr>
      <w:r w:rsidRPr="00D56AF9">
        <w:rPr>
          <w:sz w:val="22"/>
          <w:szCs w:val="22"/>
          <w:lang w:val="en-GB"/>
        </w:rPr>
        <w:t>Single tender</w:t>
      </w:r>
      <w:r w:rsidR="00584BF4" w:rsidRPr="00B33EE6">
        <w:rPr>
          <w:sz w:val="22"/>
          <w:szCs w:val="22"/>
          <w:lang w:val="en-GB"/>
        </w:rPr>
        <w:t xml:space="preserve"> </w:t>
      </w:r>
    </w:p>
    <w:p w14:paraId="5F51B1AE" w14:textId="77777777" w:rsidR="00971962"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4668818B" w14:textId="03866CF4" w:rsidR="007751CA" w:rsidRPr="00CA3177" w:rsidRDefault="007751CA" w:rsidP="007751CA">
      <w:pPr>
        <w:pStyle w:val="PRAGHeading2"/>
        <w:numPr>
          <w:ilvl w:val="0"/>
          <w:numId w:val="0"/>
        </w:numPr>
        <w:ind w:left="284" w:right="357"/>
        <w:jc w:val="both"/>
        <w:rPr>
          <w:sz w:val="22"/>
          <w:szCs w:val="22"/>
          <w:lang w:val="en-GB"/>
        </w:rPr>
      </w:pPr>
      <w:r w:rsidRPr="00CA3177">
        <w:rPr>
          <w:sz w:val="22"/>
          <w:szCs w:val="22"/>
          <w:lang w:val="en-GB"/>
        </w:rPr>
        <w:t>Project "Cultural Spaces for All" with UNESCO ref.no. TW1-016 , financed by the Project "Culture and Creativity for the Western Balkan (CC4WBs) , financed by European Union under direct supervision of the Head of Sarajevo Antenna of the Regional Bureau for Science and Culture in Europe."</w:t>
      </w:r>
    </w:p>
    <w:p w14:paraId="797EC4DC" w14:textId="77777777"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0F532635" w14:textId="2DA80F98" w:rsidR="00502217" w:rsidRPr="00B33EE6" w:rsidRDefault="007751CA" w:rsidP="007751CA">
      <w:pPr>
        <w:pStyle w:val="Blockquote"/>
        <w:spacing w:before="40" w:after="60"/>
        <w:ind w:left="284" w:right="0"/>
        <w:jc w:val="both"/>
        <w:rPr>
          <w:sz w:val="22"/>
          <w:szCs w:val="22"/>
          <w:lang w:val="en-GB"/>
        </w:rPr>
      </w:pPr>
      <w:r>
        <w:rPr>
          <w:rStyle w:val="Emphasis"/>
          <w:i w:val="0"/>
          <w:sz w:val="22"/>
          <w:szCs w:val="22"/>
          <w:lang w:val="en-GB"/>
        </w:rPr>
        <w:t xml:space="preserve">Contract for Services no. 4500506215-A1, signed between UNESCO Office in Venice and Municipality of Resen, on 30/01/2025 </w:t>
      </w:r>
      <w:r w:rsidRPr="00CA3177">
        <w:rPr>
          <w:rStyle w:val="Emphasis"/>
          <w:i w:val="0"/>
          <w:sz w:val="22"/>
          <w:szCs w:val="22"/>
          <w:lang w:val="en-GB"/>
        </w:rPr>
        <w:t>year, activity</w:t>
      </w:r>
      <w:r>
        <w:rPr>
          <w:rStyle w:val="Emphasis"/>
          <w:i w:val="0"/>
          <w:sz w:val="22"/>
          <w:szCs w:val="22"/>
          <w:lang w:val="en-GB"/>
        </w:rPr>
        <w:t xml:space="preserve"> 2.4.1 </w:t>
      </w:r>
    </w:p>
    <w:p w14:paraId="03ED8384" w14:textId="35F8AE01" w:rsidR="006F5FD0" w:rsidRDefault="006F5FD0" w:rsidP="00371C5B">
      <w:pPr>
        <w:keepNext/>
        <w:widowControl/>
        <w:spacing w:before="240" w:after="120"/>
        <w:ind w:left="284" w:hanging="284"/>
        <w:outlineLvl w:val="0"/>
        <w:rPr>
          <w:rStyle w:val="Strong"/>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16534324" w14:textId="77777777" w:rsidR="007751CA" w:rsidRDefault="007751CA" w:rsidP="007751CA">
      <w:pPr>
        <w:spacing w:before="0" w:after="0"/>
        <w:ind w:left="709"/>
        <w:jc w:val="both"/>
        <w:rPr>
          <w:lang w:val="en-GB"/>
        </w:rPr>
      </w:pPr>
      <w:r>
        <w:rPr>
          <w:lang w:val="en-GB"/>
        </w:rPr>
        <w:t xml:space="preserve">Municipality of Resen </w:t>
      </w:r>
    </w:p>
    <w:p w14:paraId="50032A17" w14:textId="77777777" w:rsidR="007751CA" w:rsidRDefault="007751CA" w:rsidP="007751CA">
      <w:pPr>
        <w:spacing w:before="0" w:after="0"/>
        <w:ind w:left="709"/>
        <w:jc w:val="both"/>
        <w:rPr>
          <w:lang w:val="en-GB"/>
        </w:rPr>
      </w:pPr>
      <w:r>
        <w:rPr>
          <w:lang w:val="en-GB"/>
        </w:rPr>
        <w:t xml:space="preserve">Square Car Samoil no. 20 , 7310 Resen, Republic of North Macedonia </w:t>
      </w:r>
    </w:p>
    <w:p w14:paraId="13437DCB" w14:textId="098A0E03" w:rsidR="007751CA" w:rsidRDefault="007751CA" w:rsidP="007751CA">
      <w:pPr>
        <w:spacing w:before="0" w:after="0"/>
        <w:ind w:left="709"/>
        <w:jc w:val="both"/>
        <w:rPr>
          <w:lang w:val="en-GB"/>
        </w:rPr>
      </w:pPr>
      <w:r>
        <w:rPr>
          <w:lang w:val="en-GB"/>
        </w:rPr>
        <w:t xml:space="preserve">+389 47 551 770 </w:t>
      </w:r>
    </w:p>
    <w:p w14:paraId="67F4A905" w14:textId="77777777" w:rsidR="006F5FD0" w:rsidRPr="00B33EE6" w:rsidRDefault="00692740" w:rsidP="00347E84">
      <w:pPr>
        <w:rPr>
          <w:sz w:val="22"/>
          <w:szCs w:val="22"/>
          <w:lang w:val="en-GB"/>
        </w:rPr>
      </w:pPr>
      <w:r>
        <w:rPr>
          <w:snapToGrid/>
          <w:sz w:val="22"/>
          <w:szCs w:val="22"/>
          <w:lang w:val="en-GB"/>
        </w:rPr>
        <w:pict w14:anchorId="589D319E">
          <v:line id="_x0000_s1027" style="position:absolute;z-index:1" from="0,12pt" to="468pt,12.05pt" o:allowincell="f" strokecolor="#d4d4d4" strokeweight="1.75pt">
            <v:shadow on="t" origin=",32385f" offset="0,-1pt"/>
          </v:line>
        </w:pict>
      </w:r>
    </w:p>
    <w:p w14:paraId="30050B2B" w14:textId="77777777" w:rsidR="006F5FD0" w:rsidRPr="00B33EE6" w:rsidRDefault="006F5FD0" w:rsidP="00347E84">
      <w:pPr>
        <w:jc w:val="center"/>
        <w:rPr>
          <w:sz w:val="28"/>
          <w:szCs w:val="28"/>
          <w:lang w:val="en-GB"/>
        </w:rPr>
      </w:pPr>
      <w:r w:rsidRPr="00B33EE6">
        <w:rPr>
          <w:rStyle w:val="Strong"/>
          <w:sz w:val="28"/>
          <w:szCs w:val="28"/>
          <w:lang w:val="en-GB"/>
        </w:rPr>
        <w:t>CONTRACT SPECIFICATION</w:t>
      </w:r>
    </w:p>
    <w:p w14:paraId="4C8A4F1B" w14:textId="77777777"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3870ECDC" w:rsidR="006F5FD0" w:rsidRPr="00B33EE6" w:rsidRDefault="00172785" w:rsidP="00371C5B">
      <w:pPr>
        <w:pStyle w:val="Blockquote"/>
        <w:spacing w:before="40" w:after="60"/>
        <w:ind w:left="284" w:right="0"/>
        <w:rPr>
          <w:i/>
          <w:sz w:val="22"/>
          <w:szCs w:val="22"/>
          <w:lang w:val="en-GB"/>
        </w:rPr>
      </w:pPr>
      <w:r w:rsidRPr="00A32630">
        <w:rPr>
          <w:rStyle w:val="Emphasis"/>
          <w:i w:val="0"/>
          <w:sz w:val="22"/>
          <w:szCs w:val="22"/>
          <w:lang w:val="en-GB"/>
        </w:rPr>
        <w:t>L</w:t>
      </w:r>
      <w:r w:rsidR="008A1184" w:rsidRPr="00A32630">
        <w:rPr>
          <w:rStyle w:val="Emphasis"/>
          <w:i w:val="0"/>
          <w:sz w:val="22"/>
          <w:szCs w:val="22"/>
          <w:lang w:val="en-GB"/>
        </w:rPr>
        <w:t>ump sum</w:t>
      </w:r>
    </w:p>
    <w:p w14:paraId="1879C6BF" w14:textId="77777777"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4ACF1C10" w14:textId="439B6804" w:rsidR="00D64A4E" w:rsidRDefault="00D64A4E" w:rsidP="00D64A4E">
      <w:pPr>
        <w:pStyle w:val="Blockquote"/>
        <w:ind w:left="0"/>
        <w:jc w:val="both"/>
        <w:rPr>
          <w:rStyle w:val="Emphasis"/>
          <w:i w:val="0"/>
          <w:sz w:val="22"/>
          <w:szCs w:val="22"/>
        </w:rPr>
      </w:pPr>
      <w:r>
        <w:rPr>
          <w:rStyle w:val="Emphasis"/>
          <w:i w:val="0"/>
          <w:sz w:val="22"/>
          <w:szCs w:val="22"/>
          <w:lang w:val="en-GB"/>
        </w:rPr>
        <w:t>The purpose of this contract is supply of materials (wood, metal, canvas</w:t>
      </w:r>
      <w:r w:rsidR="00266EB7">
        <w:rPr>
          <w:rStyle w:val="Emphasis"/>
          <w:i w:val="0"/>
          <w:sz w:val="22"/>
          <w:szCs w:val="22"/>
          <w:lang w:val="en-GB"/>
        </w:rPr>
        <w:t xml:space="preserve"> and </w:t>
      </w:r>
      <w:r w:rsidR="00266EB7">
        <w:rPr>
          <w:rStyle w:val="Emphasis"/>
          <w:i w:val="0"/>
          <w:sz w:val="22"/>
          <w:szCs w:val="22"/>
        </w:rPr>
        <w:t>connecting elements</w:t>
      </w:r>
      <w:r>
        <w:rPr>
          <w:rStyle w:val="Emphasis"/>
          <w:i w:val="0"/>
          <w:sz w:val="22"/>
          <w:szCs w:val="22"/>
          <w:lang w:val="en-GB"/>
        </w:rPr>
        <w:t xml:space="preserve">). Materials should be used by </w:t>
      </w:r>
      <w:r w:rsidR="0077776E">
        <w:rPr>
          <w:rStyle w:val="Emphasis"/>
          <w:i w:val="0"/>
          <w:sz w:val="22"/>
          <w:szCs w:val="22"/>
        </w:rPr>
        <w:t>craftsmen</w:t>
      </w:r>
      <w:r w:rsidR="00266EB7">
        <w:rPr>
          <w:rStyle w:val="Emphasis"/>
          <w:i w:val="0"/>
          <w:sz w:val="22"/>
          <w:szCs w:val="22"/>
        </w:rPr>
        <w:t xml:space="preserve"> and people engaged to process</w:t>
      </w:r>
      <w:r>
        <w:rPr>
          <w:rStyle w:val="Emphasis"/>
          <w:i w:val="0"/>
          <w:sz w:val="22"/>
          <w:szCs w:val="22"/>
        </w:rPr>
        <w:t xml:space="preserve"> materials and to construct portable promotional stands for Municipality of Resen and Municipality of P</w:t>
      </w:r>
      <w:r w:rsidR="006743E3">
        <w:rPr>
          <w:rStyle w:val="Emphasis"/>
          <w:i w:val="0"/>
          <w:sz w:val="22"/>
          <w:szCs w:val="22"/>
        </w:rPr>
        <w:t>ustec</w:t>
      </w:r>
      <w:r>
        <w:rPr>
          <w:rStyle w:val="Emphasis"/>
          <w:i w:val="0"/>
          <w:sz w:val="22"/>
          <w:szCs w:val="22"/>
        </w:rPr>
        <w:t xml:space="preserve">. </w:t>
      </w:r>
    </w:p>
    <w:p w14:paraId="68CFCF77" w14:textId="77777777" w:rsidR="00266EB7" w:rsidRDefault="00D64A4E" w:rsidP="00D64A4E">
      <w:pPr>
        <w:pStyle w:val="Blockquote"/>
        <w:ind w:left="0"/>
        <w:jc w:val="both"/>
        <w:rPr>
          <w:rStyle w:val="Emphasis"/>
          <w:i w:val="0"/>
          <w:sz w:val="22"/>
          <w:szCs w:val="22"/>
        </w:rPr>
      </w:pPr>
      <w:r>
        <w:rPr>
          <w:rStyle w:val="Emphasis"/>
          <w:i w:val="0"/>
          <w:sz w:val="22"/>
          <w:szCs w:val="22"/>
        </w:rPr>
        <w:t>Materials should be fine prepared and sui</w:t>
      </w:r>
      <w:r w:rsidR="00266EB7">
        <w:rPr>
          <w:rStyle w:val="Emphasis"/>
          <w:i w:val="0"/>
          <w:sz w:val="22"/>
          <w:szCs w:val="22"/>
        </w:rPr>
        <w:t>table for processing by craftsme</w:t>
      </w:r>
      <w:r>
        <w:rPr>
          <w:rStyle w:val="Emphasis"/>
          <w:i w:val="0"/>
          <w:sz w:val="22"/>
          <w:szCs w:val="22"/>
        </w:rPr>
        <w:t>n.</w:t>
      </w:r>
      <w:r w:rsidR="006743E3">
        <w:rPr>
          <w:rStyle w:val="Emphasis"/>
          <w:i w:val="0"/>
          <w:sz w:val="22"/>
          <w:szCs w:val="22"/>
        </w:rPr>
        <w:t xml:space="preserve"> </w:t>
      </w:r>
    </w:p>
    <w:p w14:paraId="53B6F2D1" w14:textId="77777777" w:rsidR="00CB02C9" w:rsidRDefault="00CB02C9" w:rsidP="00D64A4E">
      <w:pPr>
        <w:pStyle w:val="Blockquote"/>
        <w:ind w:left="0"/>
        <w:jc w:val="both"/>
        <w:rPr>
          <w:rStyle w:val="Emphasis"/>
          <w:i w:val="0"/>
          <w:sz w:val="22"/>
          <w:szCs w:val="22"/>
        </w:rPr>
      </w:pPr>
    </w:p>
    <w:p w14:paraId="04CCF774" w14:textId="7ED5309D" w:rsidR="006743E3" w:rsidRDefault="006743E3" w:rsidP="00D64A4E">
      <w:pPr>
        <w:pStyle w:val="Blockquote"/>
        <w:ind w:left="0"/>
        <w:jc w:val="both"/>
        <w:rPr>
          <w:rStyle w:val="Emphasis"/>
          <w:i w:val="0"/>
          <w:sz w:val="22"/>
          <w:szCs w:val="22"/>
        </w:rPr>
      </w:pPr>
      <w:r>
        <w:rPr>
          <w:rStyle w:val="Emphasis"/>
          <w:i w:val="0"/>
          <w:sz w:val="22"/>
          <w:szCs w:val="22"/>
        </w:rPr>
        <w:t xml:space="preserve">Wood, metal and canvas should be delivered by Contractor to Municipality of Resen.  </w:t>
      </w:r>
    </w:p>
    <w:p w14:paraId="75E79BC7" w14:textId="77777777" w:rsidR="006F5FD0" w:rsidRPr="00371C5B" w:rsidRDefault="006F5FD0" w:rsidP="00371C5B">
      <w:pPr>
        <w:keepNext/>
        <w:widowControl/>
        <w:spacing w:before="240" w:after="120"/>
        <w:ind w:left="284" w:hanging="284"/>
        <w:outlineLvl w:val="0"/>
        <w:rPr>
          <w:rStyle w:val="Strong"/>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2322095B" w14:textId="5443FF37" w:rsidR="00820CDB" w:rsidRPr="00F236C9" w:rsidRDefault="00820CDB" w:rsidP="00371C5B">
      <w:pPr>
        <w:pStyle w:val="Blockquote"/>
        <w:spacing w:before="40" w:after="60"/>
        <w:ind w:left="284" w:right="0"/>
        <w:rPr>
          <w:rStyle w:val="Strong"/>
          <w:b w:val="0"/>
          <w:sz w:val="22"/>
          <w:szCs w:val="22"/>
          <w:lang w:val="en-GB"/>
        </w:rPr>
      </w:pPr>
      <w:r w:rsidRPr="00F236C9">
        <w:rPr>
          <w:rStyle w:val="Strong"/>
          <w:b w:val="0"/>
          <w:sz w:val="22"/>
          <w:szCs w:val="22"/>
          <w:lang w:val="en-GB"/>
        </w:rPr>
        <w:t>This contract is divided into lots:</w:t>
      </w:r>
      <w:r w:rsidR="00A32630">
        <w:rPr>
          <w:rStyle w:val="Strong"/>
          <w:sz w:val="22"/>
          <w:szCs w:val="22"/>
          <w:lang w:val="en-GB"/>
        </w:rPr>
        <w:t xml:space="preserve"> no</w:t>
      </w:r>
    </w:p>
    <w:p w14:paraId="6C843D95" w14:textId="77777777" w:rsidR="006F5FD0" w:rsidRPr="00B33EE6" w:rsidRDefault="00692740" w:rsidP="00371C5B">
      <w:pPr>
        <w:outlineLvl w:val="0"/>
        <w:rPr>
          <w:sz w:val="22"/>
          <w:szCs w:val="22"/>
          <w:lang w:val="en-GB"/>
        </w:rPr>
      </w:pPr>
      <w:r>
        <w:rPr>
          <w:snapToGrid/>
          <w:sz w:val="22"/>
          <w:szCs w:val="22"/>
          <w:lang w:val="en-GB"/>
        </w:rPr>
        <w:pict w14:anchorId="21854D6C">
          <v:line id="_x0000_s1028" style="position:absolute;z-index:2" from="-1.05pt,17.55pt" to="466.95pt,17.6pt" o:allowincell="f" strokecolor="#d4d4d4" strokeweight="1.75pt">
            <v:shadow on="t" origin=",32385f" offset="0,-1pt"/>
          </v:line>
        </w:pict>
      </w:r>
    </w:p>
    <w:p w14:paraId="283B6821" w14:textId="77777777" w:rsidR="006F5FD0" w:rsidRPr="00B33EE6" w:rsidRDefault="006F5FD0" w:rsidP="00347E84">
      <w:pPr>
        <w:jc w:val="center"/>
        <w:rPr>
          <w:sz w:val="28"/>
          <w:szCs w:val="28"/>
          <w:lang w:val="en-GB"/>
        </w:rPr>
      </w:pPr>
      <w:r w:rsidRPr="00B33EE6">
        <w:rPr>
          <w:rStyle w:val="Strong"/>
          <w:sz w:val="28"/>
          <w:szCs w:val="28"/>
          <w:lang w:val="en-GB"/>
        </w:rPr>
        <w:t>CONDITIONS OF PARTICIPATION</w:t>
      </w:r>
    </w:p>
    <w:p w14:paraId="2CB5FCF7" w14:textId="47E123D2" w:rsidR="00B9793F" w:rsidRDefault="002845CD" w:rsidP="00371C5B">
      <w:pPr>
        <w:keepNext/>
        <w:widowControl/>
        <w:spacing w:before="240" w:after="120"/>
        <w:ind w:left="284" w:hanging="284"/>
        <w:outlineLvl w:val="0"/>
        <w:rPr>
          <w:rStyle w:val="Strong"/>
          <w:sz w:val="22"/>
          <w:szCs w:val="22"/>
          <w:lang w:val="en-GB"/>
        </w:rPr>
      </w:pPr>
      <w:r>
        <w:rPr>
          <w:rStyle w:val="Strong"/>
          <w:sz w:val="22"/>
          <w:szCs w:val="22"/>
          <w:lang w:val="en-GB"/>
        </w:rPr>
        <w:t>9</w:t>
      </w:r>
      <w:r w:rsidR="00B9793F">
        <w:rPr>
          <w:rStyle w:val="Strong"/>
          <w:sz w:val="22"/>
          <w:szCs w:val="22"/>
          <w:lang w:val="en-GB"/>
        </w:rPr>
        <w:t>.</w:t>
      </w:r>
      <w:r w:rsidR="00FD5083">
        <w:rPr>
          <w:rStyle w:val="Strong"/>
          <w:sz w:val="22"/>
          <w:szCs w:val="22"/>
          <w:lang w:val="en-GB"/>
        </w:rPr>
        <w:tab/>
      </w:r>
      <w:r w:rsidR="00B9793F" w:rsidRPr="00D97139">
        <w:rPr>
          <w:rStyle w:val="Strong"/>
          <w:sz w:val="22"/>
          <w:szCs w:val="22"/>
          <w:lang w:val="en-GB"/>
        </w:rPr>
        <w:t>Legal basis, eligibility and rules of origin</w:t>
      </w:r>
    </w:p>
    <w:p w14:paraId="381F6A2D" w14:textId="0FDB4C7D" w:rsidR="00326B16" w:rsidRPr="00A32630" w:rsidRDefault="00820CDB" w:rsidP="00371C5B">
      <w:pPr>
        <w:pStyle w:val="FootnoteText"/>
        <w:ind w:firstLine="426"/>
        <w:jc w:val="center"/>
        <w:rPr>
          <w:rStyle w:val="Strong"/>
          <w:sz w:val="22"/>
          <w:szCs w:val="22"/>
          <w:lang w:val="en-GB"/>
        </w:rPr>
      </w:pPr>
      <w:r w:rsidRPr="00A32630">
        <w:rPr>
          <w:rStyle w:val="Strong"/>
          <w:sz w:val="22"/>
          <w:szCs w:val="22"/>
          <w:lang w:val="en-GB"/>
        </w:rPr>
        <w:t>*****</w:t>
      </w:r>
    </w:p>
    <w:p w14:paraId="01156549" w14:textId="7505D7B7" w:rsidR="00B9793F" w:rsidRPr="00266EB7" w:rsidRDefault="00B9793F" w:rsidP="00371C5B">
      <w:pPr>
        <w:pStyle w:val="paragraph"/>
        <w:spacing w:before="0" w:beforeAutospacing="0" w:after="120" w:afterAutospacing="0"/>
        <w:ind w:left="426"/>
        <w:jc w:val="both"/>
        <w:textAlignment w:val="baseline"/>
        <w:rPr>
          <w:rFonts w:ascii="Segoe UI" w:hAnsi="Segoe UI" w:cs="Segoe UI"/>
          <w:sz w:val="22"/>
          <w:szCs w:val="22"/>
          <w:lang w:val="en-US"/>
        </w:rPr>
      </w:pPr>
      <w:r w:rsidRPr="00266EB7">
        <w:rPr>
          <w:rStyle w:val="normaltextrun"/>
          <w:sz w:val="22"/>
          <w:szCs w:val="22"/>
          <w:shd w:val="clear" w:color="auto" w:fill="FFFF00"/>
          <w:lang w:val="en-IE"/>
        </w:rPr>
        <w:t xml:space="preserve">The legal basis of this procedure is </w:t>
      </w:r>
      <w:r w:rsidR="00A32630" w:rsidRPr="00266EB7">
        <w:rPr>
          <w:rStyle w:val="normaltextrun"/>
          <w:sz w:val="22"/>
          <w:szCs w:val="22"/>
          <w:shd w:val="clear" w:color="auto" w:fill="FFFF00"/>
          <w:lang w:val="en-IE"/>
        </w:rPr>
        <w:t xml:space="preserve">EU </w:t>
      </w:r>
      <w:r w:rsidRPr="00266EB7">
        <w:rPr>
          <w:rStyle w:val="normaltextrun"/>
          <w:sz w:val="22"/>
          <w:szCs w:val="22"/>
          <w:shd w:val="clear" w:color="auto" w:fill="FFFF00"/>
          <w:lang w:val="en-GB"/>
        </w:rPr>
        <w:t xml:space="preserve">Regulation or other instrument under which </w:t>
      </w:r>
      <w:r w:rsidR="00A32630" w:rsidRPr="00266EB7">
        <w:rPr>
          <w:rStyle w:val="normaltextrun"/>
          <w:sz w:val="22"/>
          <w:szCs w:val="22"/>
          <w:shd w:val="clear" w:color="auto" w:fill="FFFF00"/>
          <w:lang w:val="en-GB"/>
        </w:rPr>
        <w:t xml:space="preserve">EU Project Culture and Creativity for Western Balkans </w:t>
      </w:r>
      <w:r w:rsidRPr="00266EB7">
        <w:rPr>
          <w:rStyle w:val="normaltextrun"/>
          <w:sz w:val="22"/>
          <w:szCs w:val="22"/>
          <w:shd w:val="clear" w:color="auto" w:fill="FFFF00"/>
          <w:lang w:val="en-GB"/>
        </w:rPr>
        <w:t>is financed.</w:t>
      </w:r>
      <w:r w:rsidRPr="00266EB7">
        <w:rPr>
          <w:rStyle w:val="normaltextrun"/>
          <w:sz w:val="22"/>
          <w:szCs w:val="22"/>
          <w:lang w:val="en-GB"/>
        </w:rPr>
        <w:t> </w:t>
      </w:r>
      <w:r w:rsidRPr="00266EB7">
        <w:rPr>
          <w:sz w:val="22"/>
          <w:szCs w:val="22"/>
          <w:lang w:val="en-GB"/>
        </w:rPr>
        <w:t>See Annex A2</w:t>
      </w:r>
      <w:r w:rsidR="008E13D5" w:rsidRPr="00266EB7">
        <w:rPr>
          <w:sz w:val="22"/>
          <w:szCs w:val="22"/>
          <w:lang w:val="en-GB"/>
        </w:rPr>
        <w:t>a</w:t>
      </w:r>
      <w:r w:rsidRPr="00266EB7">
        <w:rPr>
          <w:sz w:val="22"/>
          <w:szCs w:val="22"/>
          <w:lang w:val="en-GB"/>
        </w:rPr>
        <w:t xml:space="preserve"> of the practical guide</w:t>
      </w:r>
      <w:r w:rsidR="00A32630" w:rsidRPr="00266EB7">
        <w:rPr>
          <w:rStyle w:val="normaltextrun"/>
          <w:sz w:val="22"/>
          <w:szCs w:val="22"/>
          <w:shd w:val="clear" w:color="auto" w:fill="C0C0C0"/>
          <w:lang w:val="en-GB"/>
        </w:rPr>
        <w:t>.</w:t>
      </w:r>
      <w:r w:rsidRPr="00266EB7">
        <w:rPr>
          <w:rStyle w:val="eop"/>
          <w:sz w:val="22"/>
          <w:szCs w:val="22"/>
          <w:lang w:val="en-US"/>
        </w:rPr>
        <w:t> </w:t>
      </w:r>
    </w:p>
    <w:p w14:paraId="77A5D1CB" w14:textId="77777777" w:rsidR="00B9793F" w:rsidRPr="00266EB7" w:rsidRDefault="00B9793F" w:rsidP="00371C5B">
      <w:pPr>
        <w:pStyle w:val="paragraph"/>
        <w:spacing w:before="0" w:beforeAutospacing="0" w:after="120" w:afterAutospacing="0"/>
        <w:ind w:left="425"/>
        <w:jc w:val="both"/>
        <w:textAlignment w:val="baseline"/>
        <w:rPr>
          <w:rStyle w:val="eop"/>
          <w:snapToGrid w:val="0"/>
          <w:sz w:val="22"/>
          <w:szCs w:val="22"/>
          <w:lang w:val="en-US" w:eastAsia="en-US"/>
        </w:rPr>
      </w:pPr>
      <w:r w:rsidRPr="00266EB7">
        <w:rPr>
          <w:rStyle w:val="normaltextrun"/>
          <w:sz w:val="22"/>
          <w:szCs w:val="22"/>
          <w:shd w:val="clear" w:color="auto" w:fill="C0C0C0"/>
          <w:lang w:val="en-GB"/>
        </w:rPr>
        <w:t>Participation is open to all legal persons (participating either individually or in a grouping – consortium – of tenderers) which are established in a Member State of the European Union or in a country or territory of the regions covered and/or authorised by the specific instruments applicable to the programme under which the contract is financed. Participation is also open to international organisations. Participation of natural persons is directly governed by the specific instruments applicable to the programme under which the contract is financed</w:t>
      </w:r>
      <w:r w:rsidRPr="00266EB7">
        <w:rPr>
          <w:rStyle w:val="normaltextrun"/>
          <w:sz w:val="22"/>
          <w:szCs w:val="22"/>
          <w:lang w:val="en-GB"/>
        </w:rPr>
        <w:t>.</w:t>
      </w:r>
      <w:r w:rsidRPr="00266EB7">
        <w:rPr>
          <w:rStyle w:val="eop"/>
          <w:sz w:val="22"/>
          <w:szCs w:val="22"/>
          <w:lang w:val="en-US"/>
        </w:rPr>
        <w:t> </w:t>
      </w:r>
    </w:p>
    <w:p w14:paraId="16CF8494" w14:textId="4C63C02E" w:rsidR="006277AA" w:rsidRPr="00F72244" w:rsidRDefault="006277AA" w:rsidP="00371C5B">
      <w:pPr>
        <w:pStyle w:val="paragraph"/>
        <w:spacing w:before="0" w:beforeAutospacing="0" w:after="240" w:afterAutospacing="0"/>
        <w:ind w:left="425"/>
        <w:jc w:val="both"/>
        <w:textAlignment w:val="baseline"/>
        <w:rPr>
          <w:rStyle w:val="eop"/>
          <w:snapToGrid w:val="0"/>
          <w:sz w:val="22"/>
          <w:szCs w:val="22"/>
          <w:lang w:val="en-US" w:eastAsia="en-US"/>
        </w:rPr>
      </w:pPr>
      <w:r w:rsidRPr="00266EB7">
        <w:rPr>
          <w:rStyle w:val="normaltextrun"/>
          <w:sz w:val="22"/>
          <w:szCs w:val="22"/>
          <w:shd w:val="clear" w:color="auto" w:fill="C0C0C0"/>
          <w:lang w:val="en-GB"/>
        </w:rPr>
        <w:t>All supplies under this contract must originate in one or more of these countries.</w:t>
      </w:r>
    </w:p>
    <w:p w14:paraId="4028617C" w14:textId="1638555B" w:rsidR="00B9793F" w:rsidRPr="00C348D5" w:rsidRDefault="006277AA" w:rsidP="00371C5B">
      <w:pPr>
        <w:pStyle w:val="paragraph"/>
        <w:keepNext/>
        <w:spacing w:before="240" w:beforeAutospacing="0" w:after="240" w:afterAutospacing="0"/>
        <w:jc w:val="center"/>
        <w:textAlignment w:val="baseline"/>
        <w:rPr>
          <w:rFonts w:ascii="Segoe UI" w:hAnsi="Segoe UI" w:cs="Segoe UI"/>
          <w:sz w:val="22"/>
          <w:szCs w:val="22"/>
          <w:lang w:val="en-US"/>
        </w:rPr>
      </w:pPr>
      <w:r>
        <w:rPr>
          <w:rStyle w:val="eop"/>
          <w:sz w:val="22"/>
          <w:szCs w:val="22"/>
          <w:lang w:val="en-US"/>
        </w:rPr>
        <w:t>*****</w:t>
      </w:r>
    </w:p>
    <w:p w14:paraId="63522FC5" w14:textId="79686E64" w:rsidR="006F5FD0" w:rsidRPr="00371C5B" w:rsidRDefault="006F5FD0" w:rsidP="00371C5B">
      <w:pPr>
        <w:keepNext/>
        <w:widowControl/>
        <w:spacing w:before="240" w:after="120"/>
        <w:ind w:left="426" w:hanging="426"/>
        <w:outlineLvl w:val="0"/>
        <w:rPr>
          <w:rStyle w:val="Strong"/>
        </w:rPr>
      </w:pPr>
      <w:bookmarkStart w:id="0" w:name="_DV_M201"/>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0"/>
      <w:bookmarkEnd w:id="1"/>
      <w:bookmarkEnd w:id="2"/>
      <w:bookmarkEnd w:id="3"/>
      <w:bookmarkEnd w:id="4"/>
      <w:bookmarkEnd w:id="5"/>
      <w:bookmarkEnd w:id="6"/>
      <w:bookmarkEnd w:id="7"/>
      <w:bookmarkEnd w:id="8"/>
      <w:bookmarkEnd w:id="9"/>
      <w:bookmarkEnd w:id="10"/>
      <w:bookmarkEnd w:id="11"/>
      <w:bookmarkEnd w:id="12"/>
      <w:bookmarkEnd w:id="13"/>
      <w:r w:rsidRPr="00B33EE6">
        <w:rPr>
          <w:rStyle w:val="Strong"/>
          <w:sz w:val="22"/>
          <w:szCs w:val="22"/>
          <w:lang w:val="en-GB"/>
        </w:rPr>
        <w:t>1</w:t>
      </w:r>
      <w:r w:rsidR="004563EB">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B33EE6" w:rsidRDefault="006F5FD0" w:rsidP="00371C5B">
      <w:pPr>
        <w:pStyle w:val="Blockquote"/>
        <w:spacing w:before="0" w:after="120"/>
        <w:ind w:left="425" w:right="0"/>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6CBC2AF9" w14:textId="77777777" w:rsidR="001A66C2" w:rsidRPr="003319C5" w:rsidRDefault="001A66C2" w:rsidP="00371C5B">
      <w:pPr>
        <w:pStyle w:val="Blockquote"/>
        <w:spacing w:before="0" w:after="120"/>
        <w:ind w:left="425" w:right="0"/>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14:paraId="7B54A5E6" w14:textId="365FF395" w:rsidR="006F5FD0" w:rsidRPr="00371C5B" w:rsidRDefault="006F5FD0"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796D557F" w14:textId="54561F19" w:rsidR="006F5FD0" w:rsidRDefault="006F5FD0" w:rsidP="00371C5B">
      <w:pPr>
        <w:pStyle w:val="Blockquote"/>
        <w:spacing w:before="0" w:after="120"/>
        <w:ind w:left="425" w:right="0"/>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E128DF">
        <w:rPr>
          <w:sz w:val="22"/>
          <w:szCs w:val="22"/>
          <w:lang w:val="en-GB"/>
        </w:rPr>
        <w:t>4</w:t>
      </w:r>
      <w:r w:rsidRPr="00B33EE6">
        <w:rPr>
          <w:sz w:val="22"/>
          <w:szCs w:val="22"/>
          <w:lang w:val="en-GB"/>
        </w:rPr>
        <w:t>.</w:t>
      </w:r>
      <w:r w:rsidR="00E128DF">
        <w:rPr>
          <w:sz w:val="22"/>
          <w:szCs w:val="22"/>
          <w:lang w:val="en-GB"/>
        </w:rPr>
        <w:t>2</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E128DF">
        <w:rPr>
          <w:sz w:val="22"/>
          <w:szCs w:val="22"/>
          <w:lang w:val="en-GB"/>
        </w:rPr>
        <w:t>.</w:t>
      </w:r>
      <w:r w:rsidR="00E128DF" w:rsidRPr="00E128DF">
        <w:rPr>
          <w:sz w:val="22"/>
          <w:szCs w:val="22"/>
          <w:lang w:val="en-GB"/>
        </w:rPr>
        <w:t xml:space="preserve"> Where the tenderer intends to rely on capacity providing entities or subcontractor(s), he/she must provide the same declaration signed by this/these entity(ies).</w:t>
      </w:r>
    </w:p>
    <w:p w14:paraId="068C8C6C" w14:textId="77777777" w:rsidR="00CB02C9" w:rsidRDefault="00CB02C9" w:rsidP="00371C5B">
      <w:pPr>
        <w:pStyle w:val="Blockquote"/>
        <w:spacing w:before="0" w:after="120"/>
        <w:ind w:left="425" w:right="0"/>
        <w:jc w:val="both"/>
        <w:rPr>
          <w:sz w:val="22"/>
          <w:szCs w:val="22"/>
          <w:lang w:val="en-GB"/>
        </w:rPr>
      </w:pPr>
    </w:p>
    <w:p w14:paraId="3008F639" w14:textId="77777777" w:rsidR="00CB02C9" w:rsidRDefault="00CB02C9" w:rsidP="00371C5B">
      <w:pPr>
        <w:pStyle w:val="Blockquote"/>
        <w:spacing w:before="0" w:after="120"/>
        <w:ind w:left="425" w:right="0"/>
        <w:jc w:val="both"/>
        <w:rPr>
          <w:sz w:val="22"/>
          <w:szCs w:val="22"/>
          <w:lang w:val="en-GB"/>
        </w:rPr>
      </w:pPr>
    </w:p>
    <w:p w14:paraId="6F4BBF68" w14:textId="77777777" w:rsidR="00CB02C9" w:rsidRDefault="00CB02C9" w:rsidP="00371C5B">
      <w:pPr>
        <w:pStyle w:val="Blockquote"/>
        <w:spacing w:before="0" w:after="120"/>
        <w:ind w:left="425" w:right="0"/>
        <w:jc w:val="both"/>
        <w:rPr>
          <w:sz w:val="22"/>
          <w:szCs w:val="22"/>
          <w:lang w:val="en-GB"/>
        </w:rPr>
      </w:pPr>
    </w:p>
    <w:p w14:paraId="7275ED88" w14:textId="25134506" w:rsidR="0039147E" w:rsidRDefault="00C03AF5" w:rsidP="00371C5B">
      <w:pPr>
        <w:pStyle w:val="Blockquote"/>
        <w:spacing w:before="0" w:after="120"/>
        <w:ind w:left="425" w:right="0"/>
        <w:jc w:val="both"/>
        <w:rPr>
          <w:sz w:val="22"/>
          <w:szCs w:val="22"/>
          <w:lang w:val="en-GB"/>
        </w:rPr>
      </w:pPr>
      <w:r>
        <w:rPr>
          <w:sz w:val="22"/>
          <w:szCs w:val="22"/>
          <w:lang w:val="en-GB"/>
        </w:rPr>
        <w:t>Tenderer</w:t>
      </w:r>
      <w:r w:rsidR="0039147E">
        <w:rPr>
          <w:sz w:val="22"/>
          <w:szCs w:val="22"/>
          <w:lang w:val="en-GB"/>
        </w:rPr>
        <w:t xml:space="preserve"> included in the lists of EU restrictive measures</w:t>
      </w:r>
      <w:r w:rsidR="00F06A6A">
        <w:rPr>
          <w:rStyle w:val="FootnoteReference"/>
          <w:sz w:val="22"/>
          <w:szCs w:val="22"/>
          <w:lang w:val="en-GB"/>
        </w:rPr>
        <w:footnoteReference w:id="1"/>
      </w:r>
      <w:r w:rsidR="0039147E">
        <w:rPr>
          <w:sz w:val="22"/>
          <w:szCs w:val="22"/>
          <w:lang w:val="en-GB"/>
        </w:rPr>
        <w:t xml:space="preserve">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06F3E870" w:rsidR="006F5FD0" w:rsidRPr="00371C5B" w:rsidRDefault="006F5FD0"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391D26F8" w:rsidR="00E9047D" w:rsidRDefault="00692740" w:rsidP="00371C5B">
      <w:pPr>
        <w:pStyle w:val="Blockquote"/>
        <w:spacing w:before="0" w:after="480"/>
        <w:ind w:left="425" w:right="0"/>
        <w:jc w:val="both"/>
        <w:rPr>
          <w:rStyle w:val="Emphasis"/>
          <w:i w:val="0"/>
          <w:sz w:val="22"/>
          <w:szCs w:val="22"/>
          <w:lang w:val="en-GB"/>
        </w:rPr>
      </w:pPr>
      <w:r>
        <w:rPr>
          <w:snapToGrid/>
          <w:sz w:val="22"/>
          <w:szCs w:val="22"/>
          <w:lang w:val="en-GB"/>
        </w:rPr>
        <w:pict w14:anchorId="11F7E59B">
          <v:line id="_x0000_s1029" style="position:absolute;left:0;text-align:left;z-index:3" from="1.5pt,35.35pt" to="469.5pt,35.4pt" o:allowincell="f" strokecolor="#d4d4d4" strokeweight="1.75pt">
            <v:shadow on="t" origin=",32385f" offset="0,-1pt"/>
          </v:line>
        </w:pict>
      </w:r>
      <w:r w:rsidR="006D6080"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25473DDE" w:rsidR="006F5FD0" w:rsidRPr="00B33EE6" w:rsidRDefault="006F5FD0" w:rsidP="00347E84">
      <w:pPr>
        <w:keepNext/>
        <w:jc w:val="center"/>
        <w:rPr>
          <w:sz w:val="28"/>
          <w:szCs w:val="28"/>
          <w:lang w:val="en-GB"/>
        </w:rPr>
      </w:pPr>
      <w:r w:rsidRPr="00B33EE6">
        <w:rPr>
          <w:rStyle w:val="Strong"/>
          <w:sz w:val="28"/>
          <w:szCs w:val="28"/>
          <w:lang w:val="en-GB"/>
        </w:rPr>
        <w:t>PROVISIONAL TIMETABLE</w:t>
      </w:r>
    </w:p>
    <w:p w14:paraId="669BA67B" w14:textId="5628C8CF" w:rsidR="006F5FD0" w:rsidRPr="00371C5B" w:rsidRDefault="006F5FD0"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C4EA8E0" w14:textId="5C083A7F" w:rsidR="006F5FD0" w:rsidRPr="00B33EE6" w:rsidRDefault="00220AA4" w:rsidP="00371C5B">
      <w:pPr>
        <w:pStyle w:val="Blockquote"/>
        <w:spacing w:before="0" w:after="120"/>
        <w:ind w:left="357" w:right="0"/>
        <w:jc w:val="both"/>
        <w:rPr>
          <w:i/>
          <w:sz w:val="22"/>
          <w:szCs w:val="22"/>
          <w:lang w:val="en-GB"/>
        </w:rPr>
      </w:pPr>
      <w:r>
        <w:rPr>
          <w:rStyle w:val="Emphasis"/>
          <w:i w:val="0"/>
          <w:sz w:val="22"/>
          <w:szCs w:val="22"/>
          <w:lang w:val="en-GB"/>
        </w:rPr>
        <w:t>07</w:t>
      </w:r>
      <w:r w:rsidR="00A32630">
        <w:rPr>
          <w:rStyle w:val="Emphasis"/>
          <w:i w:val="0"/>
          <w:sz w:val="22"/>
          <w:szCs w:val="22"/>
          <w:lang w:val="en-GB"/>
        </w:rPr>
        <w:t>.08.2025</w:t>
      </w:r>
    </w:p>
    <w:p w14:paraId="70B1A4AA" w14:textId="75AC88E9" w:rsidR="006F5FD0" w:rsidRPr="00371C5B" w:rsidRDefault="005639EC" w:rsidP="00371C5B">
      <w:pPr>
        <w:keepNext/>
        <w:widowControl/>
        <w:spacing w:before="240" w:after="120"/>
        <w:ind w:left="426" w:hanging="426"/>
        <w:outlineLvl w:val="0"/>
        <w:rPr>
          <w:rStyle w:val="Strong"/>
        </w:rPr>
      </w:pPr>
      <w:r w:rsidRPr="00B33EE6">
        <w:rPr>
          <w:rStyle w:val="Strong"/>
          <w:sz w:val="22"/>
          <w:szCs w:val="22"/>
          <w:lang w:val="en-GB"/>
        </w:rPr>
        <w:t>1</w:t>
      </w:r>
      <w:r w:rsidR="004563EB">
        <w:rPr>
          <w:rStyle w:val="Strong"/>
          <w:sz w:val="22"/>
          <w:szCs w:val="22"/>
          <w:lang w:val="en-GB"/>
        </w:rPr>
        <w:t>4</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306959EA" w14:textId="25356E4C" w:rsidR="00266EB7" w:rsidRDefault="00266EB7" w:rsidP="00266EB7">
      <w:pPr>
        <w:spacing w:after="120"/>
        <w:jc w:val="both"/>
        <w:rPr>
          <w:sz w:val="22"/>
          <w:szCs w:val="22"/>
        </w:rPr>
      </w:pPr>
      <w:r>
        <w:rPr>
          <w:rStyle w:val="Emphasis"/>
          <w:i w:val="0"/>
          <w:sz w:val="22"/>
          <w:szCs w:val="22"/>
          <w:lang w:val="mk-MK"/>
        </w:rPr>
        <w:t xml:space="preserve"> </w:t>
      </w:r>
      <w:r w:rsidRPr="0063749B">
        <w:rPr>
          <w:sz w:val="22"/>
          <w:szCs w:val="22"/>
        </w:rPr>
        <w:t xml:space="preserve">The intended </w:t>
      </w:r>
      <w:r>
        <w:rPr>
          <w:sz w:val="22"/>
          <w:szCs w:val="22"/>
        </w:rPr>
        <w:t xml:space="preserve">start date is the date </w:t>
      </w:r>
      <w:bookmarkStart w:id="14" w:name="_GoBack"/>
      <w:bookmarkEnd w:id="14"/>
      <w:r>
        <w:rPr>
          <w:sz w:val="22"/>
          <w:szCs w:val="22"/>
        </w:rPr>
        <w:t>of Contract signing by both parties</w:t>
      </w:r>
      <w:r w:rsidRPr="0063749B">
        <w:rPr>
          <w:sz w:val="22"/>
          <w:szCs w:val="22"/>
        </w:rPr>
        <w:t xml:space="preserve"> and the period of implementation of </w:t>
      </w:r>
      <w:r>
        <w:rPr>
          <w:sz w:val="22"/>
          <w:szCs w:val="22"/>
          <w:lang w:val="mk-MK"/>
        </w:rPr>
        <w:t xml:space="preserve">   </w:t>
      </w:r>
      <w:r w:rsidRPr="0063749B">
        <w:rPr>
          <w:sz w:val="22"/>
          <w:szCs w:val="22"/>
        </w:rPr>
        <w:t xml:space="preserve">the contract will be </w:t>
      </w:r>
      <w:r>
        <w:rPr>
          <w:sz w:val="22"/>
          <w:szCs w:val="22"/>
        </w:rPr>
        <w:t>30 days.</w:t>
      </w:r>
    </w:p>
    <w:p w14:paraId="6A07015F" w14:textId="46410EBD" w:rsidR="006F5FD0" w:rsidRPr="00B33EE6" w:rsidRDefault="006F5FD0" w:rsidP="00371C5B">
      <w:pPr>
        <w:pStyle w:val="Blockquote"/>
        <w:spacing w:before="0" w:after="120"/>
        <w:ind w:left="357" w:right="0"/>
        <w:jc w:val="both"/>
        <w:rPr>
          <w:i/>
          <w:sz w:val="22"/>
          <w:szCs w:val="22"/>
          <w:lang w:val="en-GB"/>
        </w:rPr>
      </w:pPr>
    </w:p>
    <w:p w14:paraId="29CC7DD8" w14:textId="77777777" w:rsidR="006F5FD0" w:rsidRPr="00B33EE6" w:rsidRDefault="00692740" w:rsidP="00347E84">
      <w:pPr>
        <w:rPr>
          <w:sz w:val="22"/>
          <w:szCs w:val="22"/>
          <w:lang w:val="en-GB"/>
        </w:rPr>
      </w:pPr>
      <w:r>
        <w:rPr>
          <w:snapToGrid/>
          <w:sz w:val="22"/>
          <w:szCs w:val="22"/>
          <w:lang w:val="en-GB"/>
        </w:rPr>
        <w:pict w14:anchorId="6E3015B7">
          <v:line id="_x0000_s1030" style="position:absolute;z-index:4" from="0,18.75pt" to="468pt,18.8pt" o:allowincell="f" strokecolor="#d4d4d4" strokeweight="1.75pt">
            <v:shadow on="t" origin=",32385f" offset="0,-1pt"/>
          </v:line>
        </w:pict>
      </w:r>
    </w:p>
    <w:p w14:paraId="25048343" w14:textId="77777777" w:rsidR="006F5FD0" w:rsidRPr="00B33EE6" w:rsidRDefault="006F5FD0" w:rsidP="00347E84">
      <w:pPr>
        <w:jc w:val="center"/>
        <w:rPr>
          <w:sz w:val="28"/>
          <w:szCs w:val="28"/>
          <w:lang w:val="en-GB"/>
        </w:rPr>
      </w:pPr>
      <w:r w:rsidRPr="00B33EE6">
        <w:rPr>
          <w:rStyle w:val="Strong"/>
          <w:sz w:val="28"/>
          <w:szCs w:val="28"/>
          <w:lang w:val="en-GB"/>
        </w:rPr>
        <w:t>SELECTION AND AWARD CRITERIA</w:t>
      </w:r>
    </w:p>
    <w:p w14:paraId="392C793B" w14:textId="770D3912" w:rsidR="006F5FD0" w:rsidRDefault="005639EC" w:rsidP="00371C5B">
      <w:pPr>
        <w:keepNext/>
        <w:widowControl/>
        <w:spacing w:before="240" w:after="120"/>
        <w:ind w:left="425" w:hanging="425"/>
        <w:outlineLvl w:val="0"/>
        <w:rPr>
          <w:rStyle w:val="Strong"/>
          <w:sz w:val="22"/>
          <w:szCs w:val="22"/>
          <w:lang w:val="en-GB"/>
        </w:rPr>
      </w:pPr>
      <w:r w:rsidRPr="00B33EE6">
        <w:rPr>
          <w:rStyle w:val="Strong"/>
          <w:sz w:val="22"/>
          <w:szCs w:val="22"/>
          <w:lang w:val="en-GB"/>
        </w:rPr>
        <w:t>1</w:t>
      </w:r>
      <w:r w:rsidR="004563EB">
        <w:rPr>
          <w:rStyle w:val="Strong"/>
          <w:sz w:val="22"/>
          <w:szCs w:val="22"/>
          <w:lang w:val="en-GB"/>
        </w:rPr>
        <w:t>5</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7CAD1126" w14:textId="77777777" w:rsidR="00831982" w:rsidRPr="00AE0634" w:rsidRDefault="00831982" w:rsidP="00371C5B">
      <w:pPr>
        <w:pStyle w:val="Blockquote"/>
        <w:spacing w:before="0" w:after="120"/>
        <w:ind w:left="425" w:right="0"/>
        <w:jc w:val="both"/>
        <w:rPr>
          <w:sz w:val="22"/>
          <w:szCs w:val="22"/>
          <w:lang w:val="en-GB"/>
        </w:rPr>
      </w:pPr>
      <w:r w:rsidRPr="00AE0634">
        <w:rPr>
          <w:sz w:val="22"/>
          <w:szCs w:val="22"/>
          <w:lang w:val="en-GB"/>
        </w:rPr>
        <w:t>Capacity-providing entities</w:t>
      </w:r>
    </w:p>
    <w:p w14:paraId="1677E155" w14:textId="77777777" w:rsidR="00831982" w:rsidRPr="00AE0634" w:rsidRDefault="00831982" w:rsidP="00371C5B">
      <w:pPr>
        <w:pStyle w:val="Blockquote"/>
        <w:spacing w:before="0" w:after="120"/>
        <w:ind w:left="425" w:right="0"/>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100C3D8B" w14:textId="77777777" w:rsidR="00831982" w:rsidRPr="00AE0634" w:rsidRDefault="00831982" w:rsidP="00371C5B">
      <w:pPr>
        <w:pStyle w:val="Blockquote"/>
        <w:spacing w:before="0" w:after="120"/>
        <w:ind w:left="425" w:right="0"/>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2C410C11" w14:textId="03C063D0" w:rsidR="00831982" w:rsidRPr="00B33EE6" w:rsidRDefault="00831982" w:rsidP="00371C5B">
      <w:pPr>
        <w:widowControl/>
        <w:spacing w:before="0" w:after="120"/>
        <w:ind w:left="425"/>
        <w:jc w:val="both"/>
        <w:rPr>
          <w:sz w:val="22"/>
          <w:szCs w:val="22"/>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711E0145" w14:textId="77777777" w:rsidR="00CB02C9" w:rsidRDefault="00CB02C9" w:rsidP="00371C5B">
      <w:pPr>
        <w:pStyle w:val="Blockquote"/>
        <w:ind w:left="425" w:right="0"/>
        <w:jc w:val="both"/>
        <w:rPr>
          <w:sz w:val="22"/>
          <w:szCs w:val="22"/>
          <w:lang w:val="en-GB"/>
        </w:rPr>
      </w:pPr>
    </w:p>
    <w:p w14:paraId="4A5A9B21" w14:textId="77777777" w:rsidR="00CB02C9" w:rsidRDefault="00CB02C9" w:rsidP="00371C5B">
      <w:pPr>
        <w:pStyle w:val="Blockquote"/>
        <w:ind w:left="425" w:right="0"/>
        <w:jc w:val="both"/>
        <w:rPr>
          <w:sz w:val="22"/>
          <w:szCs w:val="22"/>
          <w:lang w:val="en-GB"/>
        </w:rPr>
      </w:pPr>
    </w:p>
    <w:p w14:paraId="0D716E4E" w14:textId="060A0B27" w:rsidR="006F5FD0" w:rsidRDefault="006F5FD0" w:rsidP="00371C5B">
      <w:pPr>
        <w:pStyle w:val="Blockquote"/>
        <w:ind w:left="425" w:right="0"/>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371C5B">
        <w:rPr>
          <w:b/>
          <w:bCs/>
          <w:sz w:val="22"/>
          <w:szCs w:val="22"/>
          <w:lang w:val="en-GB"/>
        </w:rPr>
        <w:t xml:space="preserve">. </w:t>
      </w:r>
      <w:r w:rsidRPr="00371C5B">
        <w:rPr>
          <w:b/>
          <w:bCs/>
          <w:sz w:val="22"/>
          <w:szCs w:val="22"/>
          <w:lang w:val="en-GB"/>
        </w:rPr>
        <w:t xml:space="preserve">In the case of </w:t>
      </w:r>
      <w:r w:rsidR="005639EC" w:rsidRPr="00371C5B">
        <w:rPr>
          <w:b/>
          <w:bCs/>
          <w:sz w:val="22"/>
          <w:szCs w:val="22"/>
          <w:lang w:val="en-GB"/>
        </w:rPr>
        <w:t>tenders</w:t>
      </w:r>
      <w:r w:rsidRPr="00371C5B">
        <w:rPr>
          <w:b/>
          <w:bCs/>
          <w:sz w:val="22"/>
          <w:szCs w:val="22"/>
          <w:lang w:val="en-GB"/>
        </w:rPr>
        <w:t xml:space="preserve"> submitted by a consortium, these selection criteria will be applied to the consortium as a whole</w:t>
      </w:r>
      <w:r w:rsidR="006751D2" w:rsidRPr="00371C5B">
        <w:rPr>
          <w:b/>
          <w:bCs/>
          <w:sz w:val="22"/>
          <w:szCs w:val="22"/>
          <w:lang w:val="en-GB"/>
        </w:rPr>
        <w:t xml:space="preserve"> if not specified otherwise</w:t>
      </w:r>
      <w:r w:rsidR="006751D2" w:rsidRPr="00B33EE6">
        <w:rPr>
          <w:sz w:val="22"/>
          <w:szCs w:val="22"/>
          <w:lang w:val="en-GB"/>
        </w:rPr>
        <w:t>. The selection criteria will not be applied to natural persons and single-member companies when they are sub-contractors.</w:t>
      </w:r>
    </w:p>
    <w:p w14:paraId="7E591805" w14:textId="59E3F84F" w:rsidR="00D06A30" w:rsidRDefault="00D06A30" w:rsidP="00371C5B">
      <w:pPr>
        <w:pStyle w:val="Blockquote"/>
        <w:ind w:left="425" w:right="0"/>
        <w:jc w:val="both"/>
        <w:rPr>
          <w:sz w:val="22"/>
          <w:szCs w:val="22"/>
          <w:lang w:val="en-GB"/>
        </w:rPr>
      </w:pPr>
      <w:r w:rsidRPr="004916FF">
        <w:rPr>
          <w:sz w:val="22"/>
          <w:szCs w:val="22"/>
          <w:lang w:val="en-GB"/>
        </w:rPr>
        <w:t xml:space="preserve">The </w:t>
      </w:r>
      <w:r>
        <w:rPr>
          <w:sz w:val="22"/>
          <w:szCs w:val="22"/>
          <w:lang w:val="en-GB"/>
        </w:rPr>
        <w:t>tenderer</w:t>
      </w:r>
      <w:r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p>
    <w:p w14:paraId="6F15199D" w14:textId="1A7760EC" w:rsidR="00287536" w:rsidRPr="003D37C2" w:rsidRDefault="00287536" w:rsidP="00371C5B">
      <w:pPr>
        <w:widowControl/>
        <w:spacing w:before="120" w:after="120"/>
        <w:ind w:left="425" w:firstLine="357"/>
        <w:jc w:val="both"/>
        <w:outlineLvl w:val="3"/>
        <w:rPr>
          <w:sz w:val="22"/>
          <w:szCs w:val="22"/>
          <w:lang w:val="en-GB"/>
        </w:rPr>
      </w:pPr>
      <w:r w:rsidRPr="003D37C2">
        <w:rPr>
          <w:sz w:val="22"/>
          <w:szCs w:val="22"/>
          <w:lang w:val="en-GB"/>
        </w:rPr>
        <w:t>The selection criteria for each tenderer are as follows:</w:t>
      </w:r>
    </w:p>
    <w:p w14:paraId="53A16187" w14:textId="168D6B27" w:rsidR="006F5FD0" w:rsidRPr="003D37C2" w:rsidRDefault="006F5FD0" w:rsidP="00371C5B">
      <w:pPr>
        <w:pStyle w:val="Blockquote"/>
        <w:numPr>
          <w:ilvl w:val="0"/>
          <w:numId w:val="45"/>
        </w:numPr>
        <w:tabs>
          <w:tab w:val="left" w:pos="851"/>
        </w:tabs>
        <w:ind w:left="851" w:right="0" w:hanging="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w:t>
      </w:r>
      <w:r w:rsidR="006751D2" w:rsidRPr="00371C5B">
        <w:rPr>
          <w:b/>
          <w:bCs/>
          <w:sz w:val="22"/>
          <w:szCs w:val="22"/>
          <w:lang w:val="en-GB"/>
        </w:rPr>
        <w:t xml:space="preserve">the last three </w:t>
      </w:r>
      <w:r w:rsidR="00D51C7E" w:rsidRPr="00371C5B">
        <w:rPr>
          <w:b/>
          <w:bCs/>
          <w:sz w:val="22"/>
          <w:szCs w:val="22"/>
          <w:lang w:val="en-GB"/>
        </w:rPr>
        <w:t xml:space="preserve">financial </w:t>
      </w:r>
      <w:r w:rsidR="006751D2" w:rsidRPr="00371C5B">
        <w:rPr>
          <w:b/>
          <w:bCs/>
          <w:sz w:val="22"/>
          <w:szCs w:val="22"/>
          <w:lang w:val="en-GB"/>
        </w:rPr>
        <w:t>years for which accounts have been closed.</w:t>
      </w:r>
    </w:p>
    <w:p w14:paraId="4A5476B5" w14:textId="77777777" w:rsidR="003D37C2" w:rsidRDefault="003D37C2" w:rsidP="003D37C2">
      <w:pPr>
        <w:pStyle w:val="Blockquote"/>
        <w:tabs>
          <w:tab w:val="left" w:pos="851"/>
        </w:tabs>
        <w:ind w:left="851" w:right="0"/>
        <w:jc w:val="both"/>
        <w:rPr>
          <w:sz w:val="22"/>
          <w:szCs w:val="22"/>
          <w:lang w:val="en-GB"/>
        </w:rPr>
      </w:pPr>
    </w:p>
    <w:p w14:paraId="7625686F" w14:textId="72D1FF93" w:rsidR="003D37C2" w:rsidRDefault="00496719" w:rsidP="003D37C2">
      <w:pPr>
        <w:spacing w:before="0" w:after="120" w:line="240" w:lineRule="atLeast"/>
        <w:ind w:firstLine="425"/>
        <w:rPr>
          <w:b/>
          <w:sz w:val="22"/>
          <w:szCs w:val="22"/>
          <w:lang w:val="en-GB"/>
        </w:rPr>
      </w:pPr>
      <w:r>
        <w:rPr>
          <w:b/>
          <w:sz w:val="22"/>
          <w:szCs w:val="22"/>
          <w:lang w:val="en-GB"/>
        </w:rPr>
        <w:t>Criteria</w:t>
      </w:r>
      <w:r w:rsidR="003D37C2" w:rsidRPr="00A35829">
        <w:rPr>
          <w:b/>
          <w:sz w:val="22"/>
          <w:szCs w:val="22"/>
          <w:lang w:val="en-GB"/>
        </w:rPr>
        <w:t xml:space="preserve"> 1: </w:t>
      </w:r>
      <w:r w:rsidR="003D37C2">
        <w:rPr>
          <w:b/>
          <w:sz w:val="22"/>
          <w:szCs w:val="22"/>
          <w:lang w:val="en-GB"/>
        </w:rPr>
        <w:t>average annual turnover</w:t>
      </w:r>
    </w:p>
    <w:p w14:paraId="730F8F18" w14:textId="44B726F2" w:rsidR="003D37C2" w:rsidRDefault="003D37C2" w:rsidP="003D37C2">
      <w:pPr>
        <w:numPr>
          <w:ilvl w:val="0"/>
          <w:numId w:val="46"/>
        </w:numPr>
        <w:spacing w:after="120"/>
        <w:jc w:val="both"/>
        <w:rPr>
          <w:lang w:val="mk-MK"/>
        </w:rPr>
      </w:pPr>
      <w:r>
        <w:rPr>
          <w:sz w:val="22"/>
          <w:szCs w:val="22"/>
          <w:lang w:val="en-GB"/>
        </w:rPr>
        <w:t>T</w:t>
      </w:r>
      <w:r w:rsidRPr="00DC30B4">
        <w:rPr>
          <w:sz w:val="22"/>
          <w:szCs w:val="22"/>
          <w:lang w:val="en-GB"/>
        </w:rPr>
        <w:t>he tenderer</w:t>
      </w:r>
      <w:r>
        <w:rPr>
          <w:sz w:val="22"/>
          <w:szCs w:val="22"/>
          <w:lang w:val="en-GB"/>
        </w:rPr>
        <w:t>’s</w:t>
      </w:r>
      <w:r w:rsidRPr="00DC30B4">
        <w:rPr>
          <w:sz w:val="22"/>
          <w:szCs w:val="22"/>
          <w:lang w:val="en-GB"/>
        </w:rPr>
        <w:t xml:space="preserve"> </w:t>
      </w:r>
      <w:r w:rsidRPr="002D18CF">
        <w:rPr>
          <w:sz w:val="22"/>
          <w:szCs w:val="22"/>
          <w:lang w:val="en-GB"/>
        </w:rPr>
        <w:t>average annual turnover of</w:t>
      </w:r>
      <w:r>
        <w:rPr>
          <w:sz w:val="22"/>
          <w:szCs w:val="22"/>
          <w:lang w:val="en-GB"/>
        </w:rPr>
        <w:t xml:space="preserve"> the</w:t>
      </w:r>
      <w:r w:rsidRPr="002D18CF">
        <w:rPr>
          <w:sz w:val="22"/>
          <w:szCs w:val="22"/>
          <w:lang w:val="en-GB"/>
        </w:rPr>
        <w:t xml:space="preserve"> </w:t>
      </w:r>
      <w:r w:rsidRPr="002D18CF">
        <w:rPr>
          <w:b/>
          <w:bCs/>
          <w:sz w:val="22"/>
          <w:szCs w:val="22"/>
          <w:lang w:val="en-GB"/>
        </w:rPr>
        <w:t>last 3 financial years</w:t>
      </w:r>
      <w:r>
        <w:rPr>
          <w:sz w:val="22"/>
          <w:szCs w:val="22"/>
          <w:lang w:val="en-GB"/>
        </w:rPr>
        <w:t xml:space="preserve"> for which </w:t>
      </w:r>
      <w:r w:rsidRPr="002D18CF">
        <w:rPr>
          <w:b/>
          <w:bCs/>
          <w:sz w:val="22"/>
          <w:szCs w:val="22"/>
          <w:lang w:val="en-GB"/>
        </w:rPr>
        <w:t xml:space="preserve">the accounts </w:t>
      </w:r>
      <w:r>
        <w:rPr>
          <w:b/>
          <w:bCs/>
          <w:sz w:val="22"/>
          <w:szCs w:val="22"/>
          <w:lang w:val="en-GB"/>
        </w:rPr>
        <w:t xml:space="preserve">have been closed </w:t>
      </w:r>
      <w:r>
        <w:rPr>
          <w:sz w:val="22"/>
          <w:szCs w:val="22"/>
          <w:lang w:val="en-GB"/>
        </w:rPr>
        <w:t>m</w:t>
      </w:r>
      <w:r w:rsidRPr="002D18CF">
        <w:rPr>
          <w:sz w:val="22"/>
          <w:szCs w:val="22"/>
          <w:lang w:val="en-GB"/>
        </w:rPr>
        <w:t xml:space="preserve">ust be </w:t>
      </w:r>
      <w:r w:rsidRPr="002D18CF">
        <w:rPr>
          <w:bCs/>
          <w:sz w:val="22"/>
          <w:szCs w:val="22"/>
          <w:lang w:val="en-GB"/>
        </w:rPr>
        <w:t xml:space="preserve">not less than </w:t>
      </w:r>
      <w:r>
        <w:rPr>
          <w:bCs/>
          <w:sz w:val="22"/>
          <w:szCs w:val="22"/>
          <w:lang w:val="en-GB"/>
        </w:rPr>
        <w:t xml:space="preserve">4.500 </w:t>
      </w:r>
      <w:r w:rsidRPr="002D18CF">
        <w:rPr>
          <w:sz w:val="22"/>
          <w:szCs w:val="22"/>
          <w:lang w:val="en-GB"/>
        </w:rPr>
        <w:t>EUR</w:t>
      </w:r>
      <w:r w:rsidRPr="00A90055">
        <w:rPr>
          <w:lang w:val="mk-MK"/>
        </w:rPr>
        <w:t xml:space="preserve"> </w:t>
      </w:r>
    </w:p>
    <w:p w14:paraId="5D762B00" w14:textId="18164060" w:rsidR="006F5FD0" w:rsidRPr="00B33EE6" w:rsidRDefault="00571687" w:rsidP="00371C5B">
      <w:pPr>
        <w:pStyle w:val="Blockquote"/>
        <w:ind w:left="709" w:right="0" w:hanging="284"/>
        <w:jc w:val="both"/>
        <w:rPr>
          <w:sz w:val="22"/>
          <w:szCs w:val="22"/>
          <w:lang w:val="en-GB"/>
        </w:rPr>
      </w:pPr>
      <w:r w:rsidRPr="00371C5B">
        <w:rPr>
          <w:b/>
          <w:sz w:val="22"/>
          <w:szCs w:val="22"/>
          <w:lang w:val="en-GB"/>
        </w:rPr>
        <w:t>2)</w:t>
      </w:r>
      <w:r w:rsidRPr="00371C5B">
        <w:rPr>
          <w:sz w:val="22"/>
          <w:szCs w:val="22"/>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w:t>
      </w:r>
      <w:r w:rsidR="00287536">
        <w:rPr>
          <w:sz w:val="22"/>
          <w:szCs w:val="22"/>
          <w:lang w:val="en-GB"/>
        </w:rPr>
        <w:t xml:space="preserve">and 5 </w:t>
      </w:r>
      <w:r w:rsidR="00087A72" w:rsidRPr="00B33EE6">
        <w:rPr>
          <w:sz w:val="22"/>
          <w:szCs w:val="22"/>
          <w:lang w:val="en-GB"/>
        </w:rPr>
        <w:t xml:space="preserve">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195C8042" w14:textId="30BEABEE" w:rsidR="00BE08EC" w:rsidRDefault="00BE08EC" w:rsidP="00371C5B">
      <w:pPr>
        <w:pStyle w:val="Blockquote"/>
        <w:ind w:left="431" w:right="0" w:hanging="6"/>
        <w:jc w:val="both"/>
        <w:rPr>
          <w:b/>
          <w:bCs/>
          <w:sz w:val="22"/>
          <w:szCs w:val="22"/>
          <w:lang w:val="en-GB"/>
        </w:rPr>
      </w:pPr>
      <w:r w:rsidRPr="00B33EE6">
        <w:rPr>
          <w:sz w:val="22"/>
          <w:szCs w:val="22"/>
          <w:lang w:val="en-GB"/>
        </w:rPr>
        <w:t xml:space="preserve">The reference period which will be taken into account will be </w:t>
      </w:r>
      <w:r w:rsidRPr="00371C5B">
        <w:rPr>
          <w:b/>
          <w:bCs/>
          <w:sz w:val="22"/>
          <w:szCs w:val="22"/>
          <w:lang w:val="en-GB"/>
        </w:rPr>
        <w:t>the last three</w:t>
      </w:r>
      <w:r w:rsidR="00862885" w:rsidRPr="00371C5B">
        <w:rPr>
          <w:b/>
          <w:bCs/>
          <w:sz w:val="22"/>
          <w:szCs w:val="22"/>
          <w:lang w:val="en-GB"/>
        </w:rPr>
        <w:t xml:space="preserve"> years </w:t>
      </w:r>
      <w:r w:rsidR="00771F97" w:rsidRPr="00371C5B">
        <w:rPr>
          <w:b/>
          <w:bCs/>
          <w:sz w:val="22"/>
          <w:szCs w:val="22"/>
          <w:lang w:val="en-GB"/>
        </w:rPr>
        <w:t>preceding the</w:t>
      </w:r>
      <w:r w:rsidRPr="00371C5B">
        <w:rPr>
          <w:b/>
          <w:bCs/>
          <w:sz w:val="22"/>
          <w:szCs w:val="22"/>
          <w:lang w:val="en-GB"/>
        </w:rPr>
        <w:t xml:space="preserve"> submission deadline.</w:t>
      </w:r>
    </w:p>
    <w:p w14:paraId="586EFE45" w14:textId="69FB5816" w:rsidR="003D37C2" w:rsidRPr="009D7C0E" w:rsidRDefault="003D37C2" w:rsidP="003D37C2">
      <w:pPr>
        <w:pStyle w:val="Blockquote"/>
        <w:numPr>
          <w:ilvl w:val="0"/>
          <w:numId w:val="46"/>
        </w:numPr>
        <w:ind w:right="0"/>
        <w:jc w:val="both"/>
        <w:rPr>
          <w:bCs/>
          <w:sz w:val="22"/>
          <w:szCs w:val="22"/>
          <w:lang w:val="mk-MK"/>
        </w:rPr>
      </w:pPr>
      <w:r w:rsidRPr="009D7C0E">
        <w:rPr>
          <w:bCs/>
          <w:sz w:val="22"/>
          <w:szCs w:val="22"/>
        </w:rPr>
        <w:t xml:space="preserve">Tenderer should have </w:t>
      </w:r>
      <w:r w:rsidR="009D7C0E" w:rsidRPr="009D7C0E">
        <w:rPr>
          <w:bCs/>
          <w:sz w:val="22"/>
          <w:szCs w:val="22"/>
        </w:rPr>
        <w:t>appropriate professional registration in National</w:t>
      </w:r>
      <w:r w:rsidR="009D7C0E">
        <w:rPr>
          <w:bCs/>
          <w:sz w:val="22"/>
          <w:szCs w:val="22"/>
        </w:rPr>
        <w:t xml:space="preserve"> Trade </w:t>
      </w:r>
      <w:r w:rsidR="009D7C0E" w:rsidRPr="009D7C0E">
        <w:rPr>
          <w:bCs/>
          <w:sz w:val="22"/>
          <w:szCs w:val="22"/>
        </w:rPr>
        <w:t>Registry</w:t>
      </w:r>
      <w:r w:rsidR="009D7C0E">
        <w:rPr>
          <w:bCs/>
          <w:sz w:val="22"/>
          <w:szCs w:val="22"/>
        </w:rPr>
        <w:t xml:space="preserve">, which approve that subject is authorized to undertake works in trade with construction materials. </w:t>
      </w:r>
      <w:r w:rsidR="009D7C0E" w:rsidRPr="009D7C0E">
        <w:rPr>
          <w:bCs/>
          <w:sz w:val="22"/>
          <w:szCs w:val="22"/>
        </w:rPr>
        <w:t xml:space="preserve">  </w:t>
      </w:r>
    </w:p>
    <w:p w14:paraId="6A6F25FF" w14:textId="183C5894" w:rsidR="009D7C0E" w:rsidRPr="009D7C0E" w:rsidRDefault="009D7C0E" w:rsidP="003D37C2">
      <w:pPr>
        <w:pStyle w:val="Blockquote"/>
        <w:numPr>
          <w:ilvl w:val="0"/>
          <w:numId w:val="46"/>
        </w:numPr>
        <w:ind w:right="0"/>
        <w:jc w:val="both"/>
        <w:rPr>
          <w:bCs/>
          <w:sz w:val="22"/>
          <w:szCs w:val="22"/>
          <w:lang w:val="mk-MK"/>
        </w:rPr>
      </w:pPr>
      <w:r>
        <w:rPr>
          <w:bCs/>
          <w:sz w:val="22"/>
          <w:szCs w:val="22"/>
        </w:rPr>
        <w:t xml:space="preserve">At least 2 (two) staff currently work for tenderer in fields related to this contract </w:t>
      </w:r>
    </w:p>
    <w:p w14:paraId="59898096" w14:textId="77777777" w:rsidR="009D7C0E" w:rsidRDefault="009D7C0E" w:rsidP="00371C5B">
      <w:pPr>
        <w:pStyle w:val="Blockquote"/>
        <w:ind w:left="782" w:right="0" w:hanging="357"/>
        <w:jc w:val="both"/>
        <w:rPr>
          <w:b/>
          <w:sz w:val="22"/>
          <w:szCs w:val="22"/>
          <w:lang w:val="en-GB"/>
        </w:rPr>
      </w:pPr>
    </w:p>
    <w:p w14:paraId="05E75179" w14:textId="1C1D609B" w:rsidR="00BE08EC" w:rsidRDefault="006F5FD0" w:rsidP="009D7C0E">
      <w:pPr>
        <w:pStyle w:val="Blockquote"/>
        <w:numPr>
          <w:ilvl w:val="0"/>
          <w:numId w:val="45"/>
        </w:numPr>
        <w:ind w:right="0"/>
        <w:jc w:val="both"/>
        <w:rPr>
          <w:sz w:val="22"/>
          <w:szCs w:val="22"/>
          <w:lang w:val="en-GB"/>
        </w:rPr>
      </w:pPr>
      <w:r w:rsidRPr="00B33EE6">
        <w:rPr>
          <w:b/>
          <w:sz w:val="22"/>
          <w:szCs w:val="22"/>
          <w:u w:val="single"/>
          <w:lang w:val="en-GB"/>
        </w:rPr>
        <w:t xml:space="preserve">Technical capacity of </w:t>
      </w:r>
      <w:r w:rsidR="00C03AF5">
        <w:rPr>
          <w:b/>
          <w:sz w:val="22"/>
          <w:szCs w:val="22"/>
          <w:u w:val="single"/>
          <w:lang w:val="en-GB"/>
        </w:rPr>
        <w:t>tenderer</w:t>
      </w:r>
      <w:r w:rsidRPr="00B33EE6">
        <w:rPr>
          <w:b/>
          <w:sz w:val="22"/>
          <w:szCs w:val="22"/>
          <w:u w:val="single"/>
          <w:lang w:val="en-GB"/>
        </w:rPr>
        <w:t xml:space="preserve"> </w:t>
      </w:r>
      <w:r w:rsidR="00087A72" w:rsidRPr="00B33EE6">
        <w:rPr>
          <w:sz w:val="22"/>
          <w:szCs w:val="22"/>
          <w:lang w:val="en-GB"/>
        </w:rPr>
        <w:t>(</w:t>
      </w:r>
      <w:r w:rsidRPr="00B33EE6">
        <w:rPr>
          <w:sz w:val="22"/>
          <w:szCs w:val="22"/>
          <w:lang w:val="en-GB"/>
        </w:rPr>
        <w:t xml:space="preserve">based on items 6 of the </w:t>
      </w:r>
      <w:r w:rsidR="00994EA3" w:rsidRPr="00B33EE6">
        <w:rPr>
          <w:sz w:val="22"/>
          <w:szCs w:val="22"/>
          <w:lang w:val="en-GB"/>
        </w:rPr>
        <w:t>tender</w:t>
      </w:r>
      <w:r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last </w:t>
      </w:r>
      <w:r w:rsidR="00BE08EC" w:rsidRPr="009D7C0E">
        <w:rPr>
          <w:sz w:val="22"/>
          <w:szCs w:val="22"/>
          <w:lang w:val="en-GB"/>
        </w:rPr>
        <w:t>three</w:t>
      </w:r>
      <w:r w:rsidR="00862885" w:rsidRPr="009D7C0E">
        <w:rPr>
          <w:sz w:val="22"/>
          <w:szCs w:val="22"/>
          <w:lang w:val="en-GB"/>
        </w:rPr>
        <w:t xml:space="preserve"> years</w:t>
      </w:r>
      <w:r w:rsidR="00862885" w:rsidRPr="00A046E7">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14:paraId="3BF88386" w14:textId="7D90D4AE" w:rsidR="009D7C0E" w:rsidRPr="00B33EE6" w:rsidRDefault="009D7C0E" w:rsidP="009D7C0E">
      <w:pPr>
        <w:pStyle w:val="Blockquote"/>
        <w:numPr>
          <w:ilvl w:val="0"/>
          <w:numId w:val="47"/>
        </w:numPr>
        <w:ind w:left="851" w:right="0" w:hanging="425"/>
        <w:jc w:val="both"/>
        <w:rPr>
          <w:sz w:val="22"/>
          <w:szCs w:val="22"/>
          <w:lang w:val="en-GB"/>
        </w:rPr>
      </w:pPr>
      <w:r>
        <w:rPr>
          <w:sz w:val="22"/>
          <w:szCs w:val="22"/>
          <w:lang w:val="en-GB"/>
        </w:rPr>
        <w:t xml:space="preserve">The tenderer has delivered supplies under at least 2 (two) contracts , each with a budget of at least that of this contract in trade with construction materials (wood, metal, canvas) which were implemented at any moment during the following period 31.07. 2022- 31.07.2025  </w:t>
      </w:r>
    </w:p>
    <w:p w14:paraId="30A959B8" w14:textId="77777777" w:rsidR="00CB02C9" w:rsidRDefault="00CB2A5B" w:rsidP="00371C5B">
      <w:pPr>
        <w:pStyle w:val="Blockquote"/>
        <w:tabs>
          <w:tab w:val="left" w:pos="284"/>
        </w:tabs>
        <w:ind w:left="425" w:right="0"/>
        <w:jc w:val="both"/>
        <w:rPr>
          <w:sz w:val="22"/>
          <w:szCs w:val="22"/>
          <w:lang w:val="en-GB"/>
        </w:rPr>
      </w:pPr>
      <w:r w:rsidRPr="00CB2A5B">
        <w:rPr>
          <w:sz w:val="22"/>
          <w:szCs w:val="22"/>
          <w:lang w:val="en-GB"/>
        </w:rPr>
        <w:t xml:space="preserve">This means that the contract the tenderer refers to could have been </w:t>
      </w:r>
      <w:r w:rsidR="002065E9">
        <w:rPr>
          <w:sz w:val="22"/>
          <w:szCs w:val="22"/>
          <w:lang w:val="en-GB"/>
        </w:rPr>
        <w:t>implemented</w:t>
      </w:r>
      <w:r w:rsidR="002065E9" w:rsidRPr="00CB2A5B" w:rsidDel="002065E9">
        <w:rPr>
          <w:sz w:val="22"/>
          <w:szCs w:val="22"/>
          <w:lang w:val="en-GB"/>
        </w:rPr>
        <w:t xml:space="preserve"> </w:t>
      </w:r>
      <w:r w:rsidRPr="00CB2A5B">
        <w:rPr>
          <w:sz w:val="22"/>
          <w:szCs w:val="22"/>
          <w:lang w:val="en-GB"/>
        </w:rPr>
        <w:t xml:space="preserve">at any time during the indicated period but it does not necessarily have to be completed during that period, nor implemented during the entire period. Tenderers are allowed to refer either to supply contracts completed within the reference period (although started earlier) or to supply contracts </w:t>
      </w:r>
      <w:r w:rsidR="002065E9" w:rsidRPr="002065E9">
        <w:rPr>
          <w:sz w:val="22"/>
          <w:szCs w:val="22"/>
          <w:lang w:val="en-GB"/>
        </w:rPr>
        <w:t xml:space="preserve">partially implemented during, but </w:t>
      </w:r>
      <w:r w:rsidRPr="00CB2A5B">
        <w:rPr>
          <w:sz w:val="22"/>
          <w:szCs w:val="22"/>
          <w:lang w:val="en-GB"/>
        </w:rPr>
        <w:t>not yet completed</w:t>
      </w:r>
      <w:r w:rsidR="002065E9">
        <w:rPr>
          <w:sz w:val="22"/>
          <w:szCs w:val="22"/>
          <w:lang w:val="en-GB"/>
        </w:rPr>
        <w:t xml:space="preserve"> within the reference period</w:t>
      </w:r>
      <w:r w:rsidRPr="00CB2A5B">
        <w:rPr>
          <w:sz w:val="22"/>
          <w:szCs w:val="22"/>
          <w:lang w:val="en-GB"/>
        </w:rPr>
        <w:t>. Only the p</w:t>
      </w:r>
      <w:r w:rsidR="002065E9">
        <w:rPr>
          <w:sz w:val="22"/>
          <w:szCs w:val="22"/>
          <w:lang w:val="en-GB"/>
        </w:rPr>
        <w:t>a</w:t>
      </w:r>
      <w:r w:rsidRPr="00CB2A5B">
        <w:rPr>
          <w:sz w:val="22"/>
          <w:szCs w:val="22"/>
          <w:lang w:val="en-GB"/>
        </w:rPr>
        <w:t>rt completed during the reference period will be taken into consideration. This p</w:t>
      </w:r>
      <w:r w:rsidR="002065E9">
        <w:rPr>
          <w:sz w:val="22"/>
          <w:szCs w:val="22"/>
          <w:lang w:val="en-GB"/>
        </w:rPr>
        <w:t>art</w:t>
      </w:r>
      <w:r w:rsidRPr="00CB2A5B">
        <w:rPr>
          <w:sz w:val="22"/>
          <w:szCs w:val="22"/>
          <w:lang w:val="en-GB"/>
        </w:rPr>
        <w:t xml:space="preserve"> will have to be supported by </w:t>
      </w:r>
    </w:p>
    <w:p w14:paraId="105A4378" w14:textId="77777777" w:rsidR="00CB02C9" w:rsidRDefault="00CB02C9" w:rsidP="00371C5B">
      <w:pPr>
        <w:pStyle w:val="Blockquote"/>
        <w:tabs>
          <w:tab w:val="left" w:pos="284"/>
        </w:tabs>
        <w:ind w:left="425" w:right="0"/>
        <w:jc w:val="both"/>
        <w:rPr>
          <w:sz w:val="22"/>
          <w:szCs w:val="22"/>
          <w:lang w:val="en-GB"/>
        </w:rPr>
      </w:pPr>
    </w:p>
    <w:p w14:paraId="681D9BD0" w14:textId="77777777" w:rsidR="00496719" w:rsidRDefault="00496719" w:rsidP="00371C5B">
      <w:pPr>
        <w:pStyle w:val="Blockquote"/>
        <w:tabs>
          <w:tab w:val="left" w:pos="284"/>
        </w:tabs>
        <w:ind w:left="425" w:right="0"/>
        <w:jc w:val="both"/>
        <w:rPr>
          <w:sz w:val="22"/>
          <w:szCs w:val="22"/>
          <w:lang w:val="en-GB"/>
        </w:rPr>
      </w:pPr>
    </w:p>
    <w:p w14:paraId="5B7D9ACD" w14:textId="77777777" w:rsidR="00496719" w:rsidRDefault="00496719" w:rsidP="00371C5B">
      <w:pPr>
        <w:pStyle w:val="Blockquote"/>
        <w:tabs>
          <w:tab w:val="left" w:pos="284"/>
        </w:tabs>
        <w:ind w:left="425" w:right="0"/>
        <w:jc w:val="both"/>
        <w:rPr>
          <w:sz w:val="22"/>
          <w:szCs w:val="22"/>
          <w:lang w:val="en-GB"/>
        </w:rPr>
      </w:pPr>
    </w:p>
    <w:p w14:paraId="67053663" w14:textId="4FADD97E" w:rsidR="00CB2A5B" w:rsidRDefault="00CB2A5B" w:rsidP="00371C5B">
      <w:pPr>
        <w:pStyle w:val="Blockquote"/>
        <w:tabs>
          <w:tab w:val="left" w:pos="284"/>
        </w:tabs>
        <w:ind w:left="425" w:right="0"/>
        <w:jc w:val="both"/>
        <w:rPr>
          <w:sz w:val="22"/>
          <w:szCs w:val="22"/>
          <w:lang w:val="en-GB"/>
        </w:rPr>
      </w:pPr>
      <w:r w:rsidRPr="00CB2A5B">
        <w:rPr>
          <w:sz w:val="22"/>
          <w:szCs w:val="22"/>
          <w:lang w:val="en-GB"/>
        </w:rPr>
        <w:t>documentary evidence (</w:t>
      </w:r>
      <w:r w:rsidR="002065E9" w:rsidRPr="005C26A3">
        <w:rPr>
          <w:sz w:val="22"/>
          <w:szCs w:val="22"/>
          <w:lang w:val="en-GB"/>
        </w:rPr>
        <w:t xml:space="preserve">approval of report or </w:t>
      </w:r>
      <w:r w:rsidR="002065E9">
        <w:rPr>
          <w:sz w:val="22"/>
          <w:szCs w:val="22"/>
          <w:lang w:val="en-GB"/>
        </w:rPr>
        <w:t>deliverable</w:t>
      </w:r>
      <w:r w:rsidR="002065E9" w:rsidRPr="005C26A3">
        <w:rPr>
          <w:sz w:val="22"/>
          <w:szCs w:val="22"/>
          <w:lang w:val="en-GB"/>
        </w:rPr>
        <w:t xml:space="preserve">, proof of payment, </w:t>
      </w:r>
      <w:r w:rsidRPr="00CB2A5B">
        <w:rPr>
          <w:sz w:val="22"/>
          <w:szCs w:val="22"/>
          <w:lang w:val="en-GB"/>
        </w:rPr>
        <w:t>statement or certificate from the entity which awarded the contract) also detailing its value. If a tenderer has implemented the supply contract in a consortium, the percentage that the tenderer has successfully completed must be clear from the documentary evidence</w:t>
      </w:r>
      <w:r w:rsidR="002065E9">
        <w:rPr>
          <w:sz w:val="22"/>
          <w:szCs w:val="22"/>
          <w:lang w:val="en-GB"/>
        </w:rPr>
        <w:t xml:space="preserve"> </w:t>
      </w:r>
      <w:r w:rsidR="002065E9" w:rsidRPr="005C26A3">
        <w:rPr>
          <w:sz w:val="22"/>
          <w:szCs w:val="22"/>
          <w:lang w:val="en-GB"/>
        </w:rPr>
        <w:t>(such as consortium agreement and bank transfers between consortium members</w:t>
      </w:r>
      <w:r w:rsidR="002065E9">
        <w:rPr>
          <w:sz w:val="22"/>
          <w:szCs w:val="22"/>
          <w:lang w:val="en-GB"/>
        </w:rPr>
        <w:t>)</w:t>
      </w:r>
      <w:r w:rsidRPr="00CB2A5B">
        <w:rPr>
          <w:sz w:val="22"/>
          <w:szCs w:val="22"/>
          <w:lang w:val="en-GB"/>
        </w:rPr>
        <w:t>, together with a description of the nature of the supplies provided.</w:t>
      </w:r>
    </w:p>
    <w:p w14:paraId="36FE5E2E" w14:textId="76250C06" w:rsidR="006F5FD0" w:rsidRPr="00371C5B" w:rsidRDefault="00994EA3" w:rsidP="00371C5B">
      <w:pPr>
        <w:keepNext/>
        <w:widowControl/>
        <w:spacing w:before="240" w:after="120"/>
        <w:ind w:left="426" w:hanging="426"/>
        <w:outlineLvl w:val="0"/>
        <w:rPr>
          <w:rStyle w:val="Strong"/>
        </w:rPr>
      </w:pPr>
      <w:r w:rsidRPr="00B33EE6">
        <w:rPr>
          <w:rStyle w:val="Strong"/>
          <w:sz w:val="22"/>
          <w:szCs w:val="22"/>
          <w:lang w:val="en-GB"/>
        </w:rPr>
        <w:t>1</w:t>
      </w:r>
      <w:r w:rsidR="0090581D">
        <w:rPr>
          <w:rStyle w:val="Strong"/>
          <w:sz w:val="22"/>
          <w:szCs w:val="22"/>
          <w:lang w:val="en-GB"/>
        </w:rPr>
        <w:t>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576FDB42" w14:textId="0D44BDB3" w:rsidR="006F5FD0" w:rsidRPr="00B33EE6" w:rsidRDefault="00831982" w:rsidP="00371C5B">
      <w:pPr>
        <w:pStyle w:val="Blockquote"/>
        <w:spacing w:before="0"/>
        <w:ind w:left="425" w:right="0"/>
        <w:jc w:val="both"/>
        <w:rPr>
          <w:sz w:val="22"/>
          <w:szCs w:val="22"/>
          <w:lang w:val="en-GB"/>
        </w:rPr>
      </w:pPr>
      <w:r w:rsidRPr="003F1149">
        <w:rPr>
          <w:sz w:val="22"/>
          <w:szCs w:val="22"/>
          <w:lang w:val="en-GB"/>
        </w:rPr>
        <w:t xml:space="preserve">Price </w:t>
      </w:r>
      <w:r>
        <w:rPr>
          <w:sz w:val="22"/>
          <w:szCs w:val="22"/>
          <w:lang w:val="en-GB"/>
        </w:rPr>
        <w:t>(</w:t>
      </w:r>
      <w:r w:rsidRPr="003F1149">
        <w:rPr>
          <w:sz w:val="22"/>
          <w:szCs w:val="22"/>
          <w:lang w:val="en-GB"/>
        </w:rPr>
        <w:t>or, if appropriate after</w:t>
      </w:r>
      <w:r>
        <w:rPr>
          <w:sz w:val="22"/>
          <w:szCs w:val="22"/>
          <w:lang w:val="en-GB"/>
        </w:rPr>
        <w:t xml:space="preserve"> </w:t>
      </w:r>
      <w:r w:rsidRPr="00D7474F">
        <w:rPr>
          <w:sz w:val="22"/>
          <w:szCs w:val="22"/>
          <w:lang w:val="en-GB"/>
        </w:rPr>
        <w:t>prior approval</w:t>
      </w:r>
      <w:r w:rsidRPr="003F1149">
        <w:rPr>
          <w:sz w:val="22"/>
          <w:szCs w:val="22"/>
          <w:lang w:val="en-GB"/>
        </w:rPr>
        <w:t xml:space="preserve">, the </w:t>
      </w:r>
      <w:r>
        <w:rPr>
          <w:sz w:val="22"/>
          <w:szCs w:val="22"/>
          <w:lang w:val="en-GB"/>
        </w:rPr>
        <w:t>best</w:t>
      </w:r>
      <w:r w:rsidR="00DA388D">
        <w:rPr>
          <w:sz w:val="22"/>
          <w:szCs w:val="22"/>
          <w:lang w:val="en-GB"/>
        </w:rPr>
        <w:t xml:space="preserve"> price-quality ratio</w:t>
      </w:r>
      <w:r>
        <w:rPr>
          <w:sz w:val="22"/>
          <w:szCs w:val="22"/>
          <w:lang w:val="en-GB"/>
        </w:rPr>
        <w:t xml:space="preserve"> </w:t>
      </w:r>
      <w:r w:rsidRPr="003F1149">
        <w:rPr>
          <w:sz w:val="22"/>
          <w:szCs w:val="22"/>
          <w:lang w:val="en-GB"/>
        </w:rPr>
        <w:t>which is a combination of quality</w:t>
      </w:r>
      <w:r>
        <w:rPr>
          <w:sz w:val="22"/>
          <w:szCs w:val="22"/>
          <w:lang w:val="en-GB"/>
        </w:rPr>
        <w:t xml:space="preserve"> and </w:t>
      </w:r>
      <w:r w:rsidRPr="003F1149">
        <w:rPr>
          <w:sz w:val="22"/>
          <w:szCs w:val="22"/>
          <w:lang w:val="en-GB"/>
        </w:rPr>
        <w:t>price</w:t>
      </w:r>
      <w:r>
        <w:rPr>
          <w:sz w:val="22"/>
          <w:szCs w:val="22"/>
          <w:lang w:val="en-GB"/>
        </w:rPr>
        <w:t>).</w:t>
      </w:r>
    </w:p>
    <w:p w14:paraId="793B56EE" w14:textId="77777777" w:rsidR="006F5FD0" w:rsidRPr="00B33EE6" w:rsidRDefault="00692740" w:rsidP="00347E84">
      <w:pPr>
        <w:rPr>
          <w:sz w:val="22"/>
          <w:szCs w:val="22"/>
          <w:lang w:val="en-GB"/>
        </w:rPr>
      </w:pPr>
      <w:r>
        <w:rPr>
          <w:snapToGrid/>
          <w:sz w:val="22"/>
          <w:szCs w:val="22"/>
          <w:lang w:val="en-GB"/>
        </w:rPr>
        <w:pict w14:anchorId="45BE0657">
          <v:line id="_x0000_s1031" style="position:absolute;z-index:5" from="0,12pt" to="468pt,12.05pt" o:allowincell="f" strokecolor="#d4d4d4" strokeweight="1.75pt">
            <v:shadow on="t" origin=",32385f" offset="0,-1pt"/>
          </v:line>
        </w:pict>
      </w:r>
    </w:p>
    <w:p w14:paraId="7482CE23" w14:textId="1F0DDCB0" w:rsidR="006F5FD0" w:rsidRPr="00B33EE6" w:rsidRDefault="00994EA3" w:rsidP="00347E84">
      <w:pPr>
        <w:keepNext/>
        <w:jc w:val="center"/>
        <w:rPr>
          <w:sz w:val="28"/>
          <w:szCs w:val="28"/>
          <w:lang w:val="en-GB"/>
        </w:rPr>
      </w:pPr>
      <w:r w:rsidRPr="00B33EE6">
        <w:rPr>
          <w:rStyle w:val="Strong"/>
          <w:sz w:val="28"/>
          <w:szCs w:val="28"/>
          <w:lang w:val="en-GB"/>
        </w:rPr>
        <w:t>TENDERING</w:t>
      </w:r>
    </w:p>
    <w:p w14:paraId="592B0149" w14:textId="212E2889" w:rsidR="006F5FD0" w:rsidRPr="00371C5B" w:rsidRDefault="00994EA3" w:rsidP="00371C5B">
      <w:pPr>
        <w:keepNext/>
        <w:widowControl/>
        <w:spacing w:before="240" w:after="120"/>
        <w:ind w:left="426" w:hanging="426"/>
        <w:outlineLvl w:val="0"/>
        <w:rPr>
          <w:rStyle w:val="Strong"/>
        </w:rPr>
      </w:pPr>
      <w:r w:rsidRPr="00B33EE6">
        <w:rPr>
          <w:rStyle w:val="Strong"/>
          <w:sz w:val="22"/>
          <w:szCs w:val="22"/>
          <w:lang w:val="en-GB"/>
        </w:rPr>
        <w:t>1</w:t>
      </w:r>
      <w:r w:rsidR="00033EFD">
        <w:rPr>
          <w:rStyle w:val="Strong"/>
          <w:sz w:val="22"/>
          <w:szCs w:val="22"/>
          <w:lang w:val="en-GB"/>
        </w:rPr>
        <w:t>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61DD2F00" w14:textId="46FDE9C4" w:rsidR="006F5FD0" w:rsidRPr="00B33EE6" w:rsidRDefault="00994EA3" w:rsidP="00371C5B">
      <w:pPr>
        <w:pStyle w:val="Blockquote"/>
        <w:spacing w:before="40" w:after="60"/>
        <w:ind w:left="425" w:right="0"/>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w:t>
      </w:r>
      <w:r w:rsidR="009D7C0E" w:rsidRPr="009D7C0E">
        <w:rPr>
          <w:rStyle w:val="Emphasis"/>
          <w:i w:val="0"/>
          <w:sz w:val="22"/>
          <w:szCs w:val="22"/>
          <w:lang w:val="en-GB"/>
        </w:rPr>
        <w:t>01.08</w:t>
      </w:r>
      <w:r w:rsidRPr="009D7C0E">
        <w:rPr>
          <w:rStyle w:val="Emphasis"/>
          <w:i w:val="0"/>
          <w:sz w:val="22"/>
          <w:szCs w:val="22"/>
          <w:lang w:val="en-GB"/>
        </w:rPr>
        <w:t>.</w:t>
      </w:r>
      <w:r w:rsidR="009D7C0E" w:rsidRPr="009D7C0E">
        <w:rPr>
          <w:rStyle w:val="Emphasis"/>
          <w:i w:val="0"/>
          <w:sz w:val="22"/>
          <w:szCs w:val="22"/>
          <w:lang w:val="en-GB"/>
        </w:rPr>
        <w:t>2025 year</w:t>
      </w:r>
      <w:r w:rsidR="009D7C0E">
        <w:rPr>
          <w:rStyle w:val="Emphasis"/>
          <w:i w:val="0"/>
          <w:sz w:val="22"/>
          <w:szCs w:val="22"/>
          <w:lang w:val="en-GB"/>
        </w:rPr>
        <w:t xml:space="preserve"> </w:t>
      </w:r>
    </w:p>
    <w:p w14:paraId="7D60F8E6" w14:textId="62D49E53" w:rsidR="006F5FD0" w:rsidRPr="00371C5B" w:rsidRDefault="00994EA3" w:rsidP="00371C5B">
      <w:pPr>
        <w:keepNext/>
        <w:widowControl/>
        <w:spacing w:before="240" w:after="120"/>
        <w:ind w:left="426" w:hanging="426"/>
        <w:outlineLvl w:val="0"/>
        <w:rPr>
          <w:rStyle w:val="Strong"/>
        </w:rPr>
      </w:pPr>
      <w:r w:rsidRPr="00B33EE6">
        <w:rPr>
          <w:rStyle w:val="Strong"/>
          <w:sz w:val="22"/>
          <w:szCs w:val="22"/>
          <w:lang w:val="en-GB"/>
        </w:rPr>
        <w:t>1</w:t>
      </w:r>
      <w:r w:rsidR="00033EFD">
        <w:rPr>
          <w:rStyle w:val="Strong"/>
          <w:sz w:val="22"/>
          <w:szCs w:val="22"/>
          <w:lang w:val="en-GB"/>
        </w:rPr>
        <w:t>8</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0C3990F6" w14:textId="7F402B76" w:rsidR="006F5FD0" w:rsidRPr="00B33EE6" w:rsidRDefault="00994EA3" w:rsidP="00371C5B">
      <w:pPr>
        <w:pStyle w:val="Blockquote"/>
        <w:spacing w:before="40" w:after="60"/>
        <w:ind w:left="425" w:right="0"/>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771F85">
        <w:rPr>
          <w:rStyle w:val="Strong"/>
          <w:b w:val="0"/>
          <w:sz w:val="22"/>
          <w:szCs w:val="22"/>
          <w:lang w:val="en-GB"/>
        </w:rPr>
        <w:t>.</w:t>
      </w:r>
      <w:r w:rsidR="006F5FD0" w:rsidRPr="00B33EE6">
        <w:rPr>
          <w:sz w:val="22"/>
          <w:szCs w:val="22"/>
          <w:lang w:val="en-GB"/>
        </w:rPr>
        <w:t xml:space="preserve"> </w:t>
      </w:r>
    </w:p>
    <w:p w14:paraId="177AD528" w14:textId="77777777" w:rsidR="004D5EDB" w:rsidRPr="00B33EE6" w:rsidRDefault="004D5EDB" w:rsidP="00371C5B">
      <w:pPr>
        <w:pStyle w:val="Blockquote"/>
        <w:ind w:left="425" w:right="0"/>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E502450" w14:textId="11CACE45" w:rsidR="004D5EDB" w:rsidRPr="00886ED7" w:rsidRDefault="00692740" w:rsidP="00371C5B">
      <w:pPr>
        <w:pStyle w:val="Blockquote"/>
        <w:ind w:left="425" w:right="0"/>
        <w:jc w:val="both"/>
        <w:rPr>
          <w:sz w:val="22"/>
          <w:szCs w:val="22"/>
          <w:lang w:val="en-GB"/>
        </w:rPr>
      </w:pPr>
      <w:hyperlink r:id="rId8" w:anchor="Annexes-AnnexesA(Ch.2):General" w:history="1">
        <w:r w:rsidR="00886ED7" w:rsidRPr="002E25ED">
          <w:rPr>
            <w:rStyle w:val="Hyperlink"/>
            <w:sz w:val="22"/>
            <w:szCs w:val="22"/>
            <w:lang w:val="en-GB"/>
          </w:rPr>
          <w:t>https://wikis.ec.europa.eu/display/ExactExternalWiki/Annexes#Annexes-AnnexesA(Ch.2):General</w:t>
        </w:r>
      </w:hyperlink>
    </w:p>
    <w:p w14:paraId="438E0786" w14:textId="77777777" w:rsidR="006F5FD0" w:rsidRPr="00B33EE6" w:rsidRDefault="006F5FD0" w:rsidP="00371C5B">
      <w:pPr>
        <w:pStyle w:val="Blockquote"/>
        <w:ind w:left="425" w:right="0"/>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40FAD56E" w:rsidR="006F5FD0" w:rsidRPr="00371C5B" w:rsidRDefault="00033EFD" w:rsidP="00371C5B">
      <w:pPr>
        <w:keepNext/>
        <w:widowControl/>
        <w:spacing w:before="240" w:after="120"/>
        <w:ind w:left="426" w:hanging="426"/>
        <w:outlineLvl w:val="0"/>
        <w:rPr>
          <w:rStyle w:val="Strong"/>
        </w:rPr>
      </w:pPr>
      <w:r>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How </w:t>
      </w:r>
      <w:r w:rsidR="006714ED" w:rsidRPr="00B33EE6">
        <w:rPr>
          <w:rStyle w:val="Strong"/>
          <w:sz w:val="22"/>
          <w:szCs w:val="22"/>
          <w:lang w:val="en-GB"/>
        </w:rPr>
        <w:t>tenders</w:t>
      </w:r>
      <w:r w:rsidR="006F5FD0" w:rsidRPr="00B33EE6">
        <w:rPr>
          <w:rStyle w:val="Strong"/>
          <w:sz w:val="22"/>
          <w:szCs w:val="22"/>
          <w:lang w:val="en-GB"/>
        </w:rPr>
        <w:t xml:space="preserve"> may be submitted</w:t>
      </w:r>
    </w:p>
    <w:p w14:paraId="7919897A" w14:textId="6CB53E63" w:rsidR="006F5FD0" w:rsidRPr="00B33EE6" w:rsidRDefault="006714ED" w:rsidP="00371C5B">
      <w:pPr>
        <w:pStyle w:val="Blockquote"/>
        <w:spacing w:before="40" w:after="120"/>
        <w:ind w:left="425" w:right="0"/>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w:t>
      </w:r>
      <w:r w:rsidR="00771F85">
        <w:rPr>
          <w:sz w:val="22"/>
          <w:szCs w:val="22"/>
          <w:lang w:val="en-GB"/>
        </w:rPr>
        <w:t>10</w:t>
      </w:r>
      <w:r w:rsidRPr="00B33EE6">
        <w:rPr>
          <w:sz w:val="22"/>
          <w:szCs w:val="22"/>
          <w:lang w:val="en-GB"/>
        </w:rPr>
        <w:t xml:space="preserve">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enderers.</w:t>
      </w:r>
    </w:p>
    <w:p w14:paraId="63BBF791" w14:textId="77777777" w:rsidR="00EF03C9" w:rsidRPr="00B33EE6" w:rsidRDefault="006714ED" w:rsidP="00371C5B">
      <w:pPr>
        <w:pStyle w:val="Blockquote"/>
        <w:spacing w:before="0" w:after="120"/>
        <w:ind w:left="425" w:right="0"/>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3D156565" w14:textId="2CED2608" w:rsidR="00502BBF" w:rsidRPr="00B33EE6" w:rsidRDefault="00502BBF" w:rsidP="00371C5B">
      <w:pPr>
        <w:pStyle w:val="Blockquote"/>
        <w:spacing w:before="40" w:after="120"/>
        <w:ind w:left="425" w:right="0"/>
        <w:jc w:val="both"/>
        <w:rPr>
          <w:rStyle w:val="Strong"/>
          <w:b w:val="0"/>
          <w:sz w:val="22"/>
          <w:szCs w:val="22"/>
          <w:lang w:val="en-GB"/>
        </w:rPr>
      </w:pPr>
      <w:r w:rsidRPr="00B33EE6">
        <w:rPr>
          <w:sz w:val="22"/>
          <w:szCs w:val="22"/>
          <w:lang w:val="en-GB"/>
        </w:rPr>
        <w:t>By submitting a tender</w:t>
      </w:r>
      <w:r w:rsidR="00DA388D">
        <w:rPr>
          <w:sz w:val="22"/>
          <w:szCs w:val="22"/>
          <w:lang w:val="en-GB"/>
        </w:rPr>
        <w:t>,</w:t>
      </w:r>
      <w:r w:rsidRPr="00B33EE6">
        <w:rPr>
          <w:sz w:val="22"/>
          <w:szCs w:val="22"/>
          <w:lang w:val="en-GB"/>
        </w:rPr>
        <w:t xml:space="preserve"> tenderers accept to receive notification of the outcome of the procedure by electronic means.</w:t>
      </w:r>
    </w:p>
    <w:p w14:paraId="78DFA6DC" w14:textId="002747CA" w:rsidR="003262FC" w:rsidRPr="00371C5B" w:rsidRDefault="003262FC" w:rsidP="00371C5B">
      <w:pPr>
        <w:keepNext/>
        <w:widowControl/>
        <w:spacing w:before="240" w:after="120"/>
        <w:ind w:left="426" w:hanging="426"/>
        <w:outlineLvl w:val="0"/>
        <w:rPr>
          <w:rStyle w:val="Strong"/>
        </w:rPr>
      </w:pPr>
      <w:r w:rsidRPr="00B33EE6">
        <w:rPr>
          <w:rStyle w:val="Strong"/>
          <w:sz w:val="22"/>
          <w:szCs w:val="22"/>
          <w:lang w:val="en-GB"/>
        </w:rPr>
        <w:t>2</w:t>
      </w:r>
      <w:r w:rsidR="00033EFD">
        <w:rPr>
          <w:rStyle w:val="Strong"/>
          <w:sz w:val="22"/>
          <w:szCs w:val="22"/>
          <w:lang w:val="en-GB"/>
        </w:rPr>
        <w:t>0</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371C5B">
      <w:pPr>
        <w:pStyle w:val="Blockquote"/>
        <w:spacing w:before="40" w:after="120"/>
        <w:ind w:left="425" w:right="0"/>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25550686" w:rsidR="003262FC" w:rsidRDefault="003262FC" w:rsidP="00371C5B">
      <w:pPr>
        <w:pStyle w:val="Blockquote"/>
        <w:spacing w:before="0" w:after="120"/>
        <w:ind w:left="425" w:right="0"/>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771F85">
        <w:rPr>
          <w:sz w:val="22"/>
          <w:szCs w:val="22"/>
          <w:lang w:val="en-GB"/>
        </w:rPr>
        <w:t>15</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49E80930" w14:textId="1D0B9954" w:rsidR="00CB02C9" w:rsidRDefault="00CB02C9" w:rsidP="00371C5B">
      <w:pPr>
        <w:pStyle w:val="Blockquote"/>
        <w:spacing w:before="0" w:after="120"/>
        <w:ind w:left="425" w:right="0"/>
        <w:jc w:val="both"/>
        <w:rPr>
          <w:sz w:val="22"/>
          <w:szCs w:val="22"/>
          <w:lang w:val="en-GB"/>
        </w:rPr>
      </w:pPr>
    </w:p>
    <w:p w14:paraId="6105EBCD" w14:textId="324A82C6" w:rsidR="00CB02C9" w:rsidRDefault="00CB02C9" w:rsidP="00371C5B">
      <w:pPr>
        <w:pStyle w:val="Blockquote"/>
        <w:spacing w:before="0" w:after="120"/>
        <w:ind w:left="425" w:right="0"/>
        <w:jc w:val="both"/>
        <w:rPr>
          <w:sz w:val="22"/>
          <w:szCs w:val="22"/>
          <w:lang w:val="en-GB"/>
        </w:rPr>
      </w:pPr>
    </w:p>
    <w:p w14:paraId="6F87C490" w14:textId="651A7C66" w:rsidR="00CB02C9" w:rsidRDefault="00CB02C9" w:rsidP="00371C5B">
      <w:pPr>
        <w:pStyle w:val="Blockquote"/>
        <w:spacing w:before="0" w:after="120"/>
        <w:ind w:left="425" w:right="0"/>
        <w:jc w:val="both"/>
        <w:rPr>
          <w:sz w:val="22"/>
          <w:szCs w:val="22"/>
          <w:lang w:val="en-GB"/>
        </w:rPr>
      </w:pPr>
    </w:p>
    <w:p w14:paraId="44235050" w14:textId="77777777" w:rsidR="00CB02C9" w:rsidRPr="00B33EE6" w:rsidRDefault="00CB02C9" w:rsidP="00371C5B">
      <w:pPr>
        <w:pStyle w:val="Blockquote"/>
        <w:spacing w:before="0" w:after="120"/>
        <w:ind w:left="425" w:right="0"/>
        <w:jc w:val="both"/>
        <w:rPr>
          <w:sz w:val="22"/>
          <w:szCs w:val="22"/>
          <w:lang w:val="en-GB"/>
        </w:rPr>
      </w:pPr>
    </w:p>
    <w:p w14:paraId="33B0DD15" w14:textId="7DF9D28B" w:rsidR="006F5FD0" w:rsidRPr="00371C5B" w:rsidRDefault="003262FC" w:rsidP="00371C5B">
      <w:pPr>
        <w:keepNext/>
        <w:widowControl/>
        <w:spacing w:before="240" w:after="120"/>
        <w:ind w:left="426" w:hanging="426"/>
        <w:outlineLvl w:val="0"/>
        <w:rPr>
          <w:rStyle w:val="Strong"/>
        </w:rPr>
      </w:pPr>
      <w:r w:rsidRPr="00B33EE6">
        <w:rPr>
          <w:rStyle w:val="Strong"/>
          <w:sz w:val="22"/>
          <w:szCs w:val="22"/>
          <w:lang w:val="en-GB"/>
        </w:rPr>
        <w:t>2</w:t>
      </w:r>
      <w:r w:rsidR="00033EFD">
        <w:rPr>
          <w:rStyle w:val="Strong"/>
          <w:sz w:val="22"/>
          <w:szCs w:val="22"/>
          <w:lang w:val="en-GB"/>
        </w:rPr>
        <w:t>1</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77777777" w:rsidR="006F5FD0" w:rsidRPr="00B33EE6" w:rsidRDefault="006F5FD0" w:rsidP="00371C5B">
      <w:pPr>
        <w:pStyle w:val="Blockquote"/>
        <w:spacing w:before="40" w:after="120"/>
        <w:ind w:left="425" w:right="0"/>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38DC66B2" w14:textId="7F95E190" w:rsidR="00E9047D" w:rsidRPr="00371C5B" w:rsidRDefault="00326B16" w:rsidP="00371C5B">
      <w:pPr>
        <w:keepNext/>
        <w:widowControl/>
        <w:spacing w:before="240" w:after="120"/>
        <w:ind w:left="426" w:hanging="426"/>
        <w:outlineLvl w:val="0"/>
        <w:rPr>
          <w:rStyle w:val="Strong"/>
        </w:rPr>
      </w:pPr>
      <w:r w:rsidRPr="00371C5B">
        <w:rPr>
          <w:rStyle w:val="Strong"/>
        </w:rPr>
        <w:t>2</w:t>
      </w:r>
      <w:r w:rsidR="00033EFD">
        <w:rPr>
          <w:rStyle w:val="Strong"/>
        </w:rPr>
        <w:t>2</w:t>
      </w:r>
      <w:r w:rsidR="008272C0" w:rsidRPr="00371C5B">
        <w:rPr>
          <w:rStyle w:val="Strong"/>
        </w:rPr>
        <w:t>.</w:t>
      </w:r>
      <w:r w:rsidR="00FD5083">
        <w:rPr>
          <w:rStyle w:val="Strong"/>
        </w:rPr>
        <w:tab/>
      </w:r>
      <w:r w:rsidR="00E9047D" w:rsidRPr="00371C5B">
        <w:rPr>
          <w:rStyle w:val="Strong"/>
        </w:rPr>
        <w:t>Additional information</w:t>
      </w:r>
    </w:p>
    <w:p w14:paraId="7A5C8404" w14:textId="656E48A5" w:rsidR="00AF412E" w:rsidRPr="008660AD" w:rsidRDefault="00AF412E" w:rsidP="00371C5B">
      <w:pPr>
        <w:widowControl/>
        <w:snapToGrid w:val="0"/>
        <w:spacing w:after="120"/>
        <w:ind w:left="425"/>
        <w:jc w:val="both"/>
        <w:rPr>
          <w:sz w:val="22"/>
          <w:szCs w:val="22"/>
          <w:lang w:val="en-GB"/>
        </w:rPr>
      </w:pPr>
      <w:r w:rsidRPr="008660AD">
        <w:rPr>
          <w:sz w:val="22"/>
          <w:szCs w:val="22"/>
          <w:lang w:val="en-GB"/>
        </w:rPr>
        <w:t xml:space="preserve">Financial data to be provided by the candidate in the standard application form  must be expressed in </w:t>
      </w:r>
      <w:r w:rsidRPr="00240E11">
        <w:rPr>
          <w:sz w:val="22"/>
          <w:szCs w:val="22"/>
          <w:lang w:val="en-GB"/>
        </w:rPr>
        <w:t>EUR</w:t>
      </w:r>
      <w:r w:rsidR="00240E11">
        <w:rPr>
          <w:sz w:val="22"/>
          <w:szCs w:val="22"/>
          <w:lang w:val="en-GB"/>
        </w:rPr>
        <w:t>.</w:t>
      </w:r>
      <w:r w:rsidRPr="008660AD">
        <w:rPr>
          <w:sz w:val="22"/>
          <w:szCs w:val="22"/>
          <w:lang w:val="en-GB"/>
        </w:rPr>
        <w:t xml:space="preserve">. </w:t>
      </w:r>
      <w:r w:rsidR="00240E11">
        <w:rPr>
          <w:sz w:val="22"/>
          <w:szCs w:val="22"/>
          <w:lang w:val="en-GB"/>
        </w:rPr>
        <w:t xml:space="preserve">Payments should be made in MKD </w:t>
      </w:r>
      <w:r w:rsidRPr="008660AD">
        <w:rPr>
          <w:sz w:val="22"/>
          <w:szCs w:val="22"/>
          <w:lang w:val="en-GB"/>
        </w:rPr>
        <w:t xml:space="preserve">in accordance with the InforEuro exchange rate of </w:t>
      </w:r>
      <w:r w:rsidRPr="00240E11">
        <w:rPr>
          <w:sz w:val="22"/>
          <w:szCs w:val="22"/>
          <w:lang w:val="en-GB"/>
        </w:rPr>
        <w:t>[&lt;</w:t>
      </w:r>
      <w:r w:rsidRPr="00240E11">
        <w:rPr>
          <w:b/>
          <w:sz w:val="22"/>
          <w:szCs w:val="22"/>
          <w:lang w:val="en-GB"/>
        </w:rPr>
        <w:t xml:space="preserve">MONTH and YEAR&gt; </w:t>
      </w:r>
      <w:r w:rsidRPr="00240E11">
        <w:rPr>
          <w:sz w:val="22"/>
          <w:szCs w:val="22"/>
          <w:lang w:val="en-GB"/>
        </w:rPr>
        <w:t xml:space="preserve">of the applicable InforEuro exchange rate, which can either correspond to the month and year of the publication of the present contract notice or the month and year corresponding to the deadline for submitting applications], which can be found at the following address: </w:t>
      </w:r>
      <w:hyperlink r:id="rId9" w:history="1">
        <w:r w:rsidRPr="00240E11">
          <w:rPr>
            <w:rStyle w:val="Hyperlink"/>
            <w:sz w:val="22"/>
            <w:szCs w:val="22"/>
            <w:lang w:val="en-GB"/>
          </w:rPr>
          <w:t>http://ec.europa.eu/budget/graphs/inforeuro.html</w:t>
        </w:r>
      </w:hyperlink>
      <w:r w:rsidRPr="00240E11">
        <w:rPr>
          <w:sz w:val="22"/>
          <w:szCs w:val="22"/>
          <w:lang w:val="en-GB"/>
        </w:rPr>
        <w:t>.</w:t>
      </w:r>
    </w:p>
    <w:p w14:paraId="2AC4BD41" w14:textId="5FD6B201" w:rsidR="007F6AA9" w:rsidRPr="00F9055E" w:rsidRDefault="00033EFD" w:rsidP="00371C5B">
      <w:pPr>
        <w:pStyle w:val="Blockquote"/>
        <w:spacing w:before="480"/>
        <w:ind w:left="357" w:right="357"/>
        <w:jc w:val="center"/>
        <w:rPr>
          <w:sz w:val="22"/>
          <w:szCs w:val="22"/>
          <w:lang w:val="en-GB"/>
        </w:rPr>
      </w:pPr>
      <w:r>
        <w:rPr>
          <w:sz w:val="22"/>
          <w:szCs w:val="22"/>
          <w:lang w:val="en-GB"/>
        </w:rPr>
        <w:t>* * *</w:t>
      </w:r>
    </w:p>
    <w:sectPr w:rsidR="007F6AA9" w:rsidRPr="00F9055E" w:rsidSect="00E147D3">
      <w:headerReference w:type="default" r:id="rId10"/>
      <w:footerReference w:type="default" r:id="rId11"/>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8F5A6" w14:textId="77777777" w:rsidR="00692740" w:rsidRDefault="00692740">
      <w:r>
        <w:separator/>
      </w:r>
    </w:p>
  </w:endnote>
  <w:endnote w:type="continuationSeparator" w:id="0">
    <w:p w14:paraId="1608A966" w14:textId="77777777" w:rsidR="00692740" w:rsidRDefault="0069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BA12" w14:textId="56A93252" w:rsidR="00EF0A8C" w:rsidRPr="00B33EE6" w:rsidRDefault="00FD5083" w:rsidP="00CB02C9">
    <w:pPr>
      <w:pStyle w:val="Footer"/>
      <w:tabs>
        <w:tab w:val="clear" w:pos="4320"/>
        <w:tab w:val="clear" w:pos="8640"/>
        <w:tab w:val="right" w:pos="9214"/>
      </w:tabs>
      <w:spacing w:before="120" w:after="0"/>
      <w:jc w:val="right"/>
      <w:rPr>
        <w:b/>
        <w:sz w:val="20"/>
        <w:lang w:val="en-GB"/>
      </w:rPr>
    </w:pPr>
    <w:r>
      <w:rPr>
        <w:b/>
        <w:sz w:val="20"/>
      </w:rPr>
      <w:t>202</w:t>
    </w:r>
    <w:r w:rsidR="00C640A4">
      <w:rPr>
        <w:b/>
        <w:sz w:val="20"/>
      </w:rPr>
      <w:t>5</w:t>
    </w:r>
    <w:r w:rsidR="00692740">
      <w:rPr>
        <w:noProof/>
        <w:snapToGrid/>
        <w:lang w:val="mk-MK" w:eastAsia="mk-MK"/>
      </w:rPr>
      <w:pict w14:anchorId="51C8B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Graphical user interface, text&#10;&#10;Description automatically generated" style="width:165.75pt;height:36pt;visibility:visible;mso-wrap-style:square">
          <v:imagedata r:id="rId1" o:title="Graphical user interface, text&#10;&#10;Description automatically generated"/>
        </v:shape>
      </w:pic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220AA4">
      <w:rPr>
        <w:rStyle w:val="PageNumber"/>
        <w:noProof/>
        <w:sz w:val="18"/>
        <w:szCs w:val="18"/>
        <w:lang w:val="en-GB"/>
      </w:rPr>
      <w:t>6</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220AA4">
      <w:rPr>
        <w:rStyle w:val="PageNumber"/>
        <w:noProof/>
        <w:sz w:val="18"/>
        <w:szCs w:val="18"/>
        <w:lang w:val="en-GB"/>
      </w:rPr>
      <w:t>6</w:t>
    </w:r>
    <w:r w:rsidR="00B33EE6" w:rsidRPr="00B33EE6">
      <w:rPr>
        <w:rStyle w:val="PageNumber"/>
        <w:sz w:val="18"/>
        <w:szCs w:val="18"/>
        <w:lang w:val="en-GB"/>
      </w:rPr>
      <w:fldChar w:fldCharType="end"/>
    </w:r>
  </w:p>
  <w:p w14:paraId="77551F46" w14:textId="2A0EDC76" w:rsidR="00EF0A8C" w:rsidRPr="00B33EE6" w:rsidRDefault="00FD5083" w:rsidP="00FD5083">
    <w:pPr>
      <w:pStyle w:val="Footer"/>
      <w:spacing w:before="0" w:after="0"/>
      <w:rPr>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C640A4">
      <w:rPr>
        <w:noProof/>
        <w:sz w:val="18"/>
        <w:szCs w:val="18"/>
        <w:lang w:val="en-GB"/>
      </w:rPr>
      <w:t>c2_contractnotice_simp_neg_en.docx</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E3C3E" w14:textId="77777777" w:rsidR="00692740" w:rsidRDefault="00692740">
      <w:r>
        <w:separator/>
      </w:r>
    </w:p>
  </w:footnote>
  <w:footnote w:type="continuationSeparator" w:id="0">
    <w:p w14:paraId="33694EE0" w14:textId="77777777" w:rsidR="00692740" w:rsidRDefault="00692740">
      <w:r>
        <w:continuationSeparator/>
      </w:r>
    </w:p>
  </w:footnote>
  <w:footnote w:id="1">
    <w:p w14:paraId="0AE5234C" w14:textId="090A2C47" w:rsidR="00F06A6A" w:rsidRPr="00371C5B" w:rsidRDefault="00F06A6A" w:rsidP="00371C5B">
      <w:pPr>
        <w:pStyle w:val="FootnoteText"/>
        <w:ind w:left="284" w:hanging="284"/>
        <w:jc w:val="both"/>
        <w:rPr>
          <w:lang w:val="en-IE"/>
        </w:rPr>
      </w:pPr>
      <w:r>
        <w:rPr>
          <w:rStyle w:val="FootnoteReference"/>
        </w:rPr>
        <w:footnoteRef/>
      </w:r>
      <w:r w:rsidR="004563EB">
        <w:tab/>
      </w:r>
      <w:r w:rsidRPr="005C423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rPr>
          <w:t>EU Sanctions Map</w:t>
        </w:r>
      </w:hyperlink>
      <w:r w:rsidRPr="005C423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A43FC" w14:textId="73FA5F0D" w:rsidR="00371C5B" w:rsidRDefault="00692740">
    <w:pPr>
      <w:pStyle w:val="Header"/>
    </w:pPr>
    <w:r>
      <w:rPr>
        <w:noProof/>
        <w:snapToGrid/>
        <w:lang w:val="mk-MK" w:eastAsia="mk-MK"/>
      </w:rPr>
      <w:pict w14:anchorId="44049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0326960" o:spid="_x0000_s2049" type="#_x0000_t75" alt="A picture containing screenshot, line, black, design&#10;&#10;Description automatically generated" style="position:absolute;margin-left:-9.75pt;margin-top:-42.5pt;width:639.95pt;height:98.25pt;z-index:-1;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A picture containing screenshot, line, black, design&#10;&#10;Description automatically generated"/>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2D5979DD"/>
    <w:multiLevelType w:val="hybridMultilevel"/>
    <w:tmpl w:val="86889712"/>
    <w:lvl w:ilvl="0" w:tplc="042F0001">
      <w:start w:val="1"/>
      <w:numFmt w:val="bullet"/>
      <w:lvlText w:val=""/>
      <w:lvlJc w:val="left"/>
      <w:pPr>
        <w:ind w:left="785" w:hanging="360"/>
      </w:pPr>
      <w:rPr>
        <w:rFonts w:ascii="Symbol" w:hAnsi="Symbol" w:hint="default"/>
        <w:sz w:val="22"/>
      </w:rPr>
    </w:lvl>
    <w:lvl w:ilvl="1" w:tplc="042F0003" w:tentative="1">
      <w:start w:val="1"/>
      <w:numFmt w:val="bullet"/>
      <w:lvlText w:val="o"/>
      <w:lvlJc w:val="left"/>
      <w:pPr>
        <w:ind w:left="1505" w:hanging="360"/>
      </w:pPr>
      <w:rPr>
        <w:rFonts w:ascii="Courier New" w:hAnsi="Courier New" w:cs="Courier New" w:hint="default"/>
      </w:rPr>
    </w:lvl>
    <w:lvl w:ilvl="2" w:tplc="042F0005" w:tentative="1">
      <w:start w:val="1"/>
      <w:numFmt w:val="bullet"/>
      <w:lvlText w:val=""/>
      <w:lvlJc w:val="left"/>
      <w:pPr>
        <w:ind w:left="2225" w:hanging="360"/>
      </w:pPr>
      <w:rPr>
        <w:rFonts w:ascii="Wingdings" w:hAnsi="Wingdings" w:hint="default"/>
      </w:rPr>
    </w:lvl>
    <w:lvl w:ilvl="3" w:tplc="042F0001" w:tentative="1">
      <w:start w:val="1"/>
      <w:numFmt w:val="bullet"/>
      <w:lvlText w:val=""/>
      <w:lvlJc w:val="left"/>
      <w:pPr>
        <w:ind w:left="2945" w:hanging="360"/>
      </w:pPr>
      <w:rPr>
        <w:rFonts w:ascii="Symbol" w:hAnsi="Symbol" w:hint="default"/>
      </w:rPr>
    </w:lvl>
    <w:lvl w:ilvl="4" w:tplc="042F0003" w:tentative="1">
      <w:start w:val="1"/>
      <w:numFmt w:val="bullet"/>
      <w:lvlText w:val="o"/>
      <w:lvlJc w:val="left"/>
      <w:pPr>
        <w:ind w:left="3665" w:hanging="360"/>
      </w:pPr>
      <w:rPr>
        <w:rFonts w:ascii="Courier New" w:hAnsi="Courier New" w:cs="Courier New" w:hint="default"/>
      </w:rPr>
    </w:lvl>
    <w:lvl w:ilvl="5" w:tplc="042F0005" w:tentative="1">
      <w:start w:val="1"/>
      <w:numFmt w:val="bullet"/>
      <w:lvlText w:val=""/>
      <w:lvlJc w:val="left"/>
      <w:pPr>
        <w:ind w:left="4385" w:hanging="360"/>
      </w:pPr>
      <w:rPr>
        <w:rFonts w:ascii="Wingdings" w:hAnsi="Wingdings" w:hint="default"/>
      </w:rPr>
    </w:lvl>
    <w:lvl w:ilvl="6" w:tplc="042F0001" w:tentative="1">
      <w:start w:val="1"/>
      <w:numFmt w:val="bullet"/>
      <w:lvlText w:val=""/>
      <w:lvlJc w:val="left"/>
      <w:pPr>
        <w:ind w:left="5105" w:hanging="360"/>
      </w:pPr>
      <w:rPr>
        <w:rFonts w:ascii="Symbol" w:hAnsi="Symbol" w:hint="default"/>
      </w:rPr>
    </w:lvl>
    <w:lvl w:ilvl="7" w:tplc="042F0003" w:tentative="1">
      <w:start w:val="1"/>
      <w:numFmt w:val="bullet"/>
      <w:lvlText w:val="o"/>
      <w:lvlJc w:val="left"/>
      <w:pPr>
        <w:ind w:left="5825" w:hanging="360"/>
      </w:pPr>
      <w:rPr>
        <w:rFonts w:ascii="Courier New" w:hAnsi="Courier New" w:cs="Courier New" w:hint="default"/>
      </w:rPr>
    </w:lvl>
    <w:lvl w:ilvl="8" w:tplc="042F0005" w:tentative="1">
      <w:start w:val="1"/>
      <w:numFmt w:val="bullet"/>
      <w:lvlText w:val=""/>
      <w:lvlJc w:val="left"/>
      <w:pPr>
        <w:ind w:left="6545" w:hanging="360"/>
      </w:pPr>
      <w:rPr>
        <w:rFonts w:ascii="Wingdings" w:hAnsi="Wingdings" w:hint="default"/>
      </w:rPr>
    </w:lvl>
  </w:abstractNum>
  <w:abstractNum w:abstractNumId="40" w15:restartNumberingAfterBreak="0">
    <w:nsid w:val="334A48E7"/>
    <w:multiLevelType w:val="hybridMultilevel"/>
    <w:tmpl w:val="18FCEDEC"/>
    <w:lvl w:ilvl="0" w:tplc="042F0001">
      <w:start w:val="1"/>
      <w:numFmt w:val="bullet"/>
      <w:lvlText w:val=""/>
      <w:lvlJc w:val="left"/>
      <w:pPr>
        <w:ind w:left="1437" w:hanging="360"/>
      </w:pPr>
      <w:rPr>
        <w:rFonts w:ascii="Symbol" w:hAnsi="Symbol" w:hint="default"/>
      </w:rPr>
    </w:lvl>
    <w:lvl w:ilvl="1" w:tplc="042F0003" w:tentative="1">
      <w:start w:val="1"/>
      <w:numFmt w:val="bullet"/>
      <w:lvlText w:val="o"/>
      <w:lvlJc w:val="left"/>
      <w:pPr>
        <w:ind w:left="2157" w:hanging="360"/>
      </w:pPr>
      <w:rPr>
        <w:rFonts w:ascii="Courier New" w:hAnsi="Courier New" w:cs="Courier New" w:hint="default"/>
      </w:rPr>
    </w:lvl>
    <w:lvl w:ilvl="2" w:tplc="042F0005" w:tentative="1">
      <w:start w:val="1"/>
      <w:numFmt w:val="bullet"/>
      <w:lvlText w:val=""/>
      <w:lvlJc w:val="left"/>
      <w:pPr>
        <w:ind w:left="2877" w:hanging="360"/>
      </w:pPr>
      <w:rPr>
        <w:rFonts w:ascii="Wingdings" w:hAnsi="Wingdings" w:hint="default"/>
      </w:rPr>
    </w:lvl>
    <w:lvl w:ilvl="3" w:tplc="042F0001" w:tentative="1">
      <w:start w:val="1"/>
      <w:numFmt w:val="bullet"/>
      <w:lvlText w:val=""/>
      <w:lvlJc w:val="left"/>
      <w:pPr>
        <w:ind w:left="3597" w:hanging="360"/>
      </w:pPr>
      <w:rPr>
        <w:rFonts w:ascii="Symbol" w:hAnsi="Symbol" w:hint="default"/>
      </w:rPr>
    </w:lvl>
    <w:lvl w:ilvl="4" w:tplc="042F0003" w:tentative="1">
      <w:start w:val="1"/>
      <w:numFmt w:val="bullet"/>
      <w:lvlText w:val="o"/>
      <w:lvlJc w:val="left"/>
      <w:pPr>
        <w:ind w:left="4317" w:hanging="360"/>
      </w:pPr>
      <w:rPr>
        <w:rFonts w:ascii="Courier New" w:hAnsi="Courier New" w:cs="Courier New" w:hint="default"/>
      </w:rPr>
    </w:lvl>
    <w:lvl w:ilvl="5" w:tplc="042F0005" w:tentative="1">
      <w:start w:val="1"/>
      <w:numFmt w:val="bullet"/>
      <w:lvlText w:val=""/>
      <w:lvlJc w:val="left"/>
      <w:pPr>
        <w:ind w:left="5037" w:hanging="360"/>
      </w:pPr>
      <w:rPr>
        <w:rFonts w:ascii="Wingdings" w:hAnsi="Wingdings" w:hint="default"/>
      </w:rPr>
    </w:lvl>
    <w:lvl w:ilvl="6" w:tplc="042F0001" w:tentative="1">
      <w:start w:val="1"/>
      <w:numFmt w:val="bullet"/>
      <w:lvlText w:val=""/>
      <w:lvlJc w:val="left"/>
      <w:pPr>
        <w:ind w:left="5757" w:hanging="360"/>
      </w:pPr>
      <w:rPr>
        <w:rFonts w:ascii="Symbol" w:hAnsi="Symbol" w:hint="default"/>
      </w:rPr>
    </w:lvl>
    <w:lvl w:ilvl="7" w:tplc="042F0003" w:tentative="1">
      <w:start w:val="1"/>
      <w:numFmt w:val="bullet"/>
      <w:lvlText w:val="o"/>
      <w:lvlJc w:val="left"/>
      <w:pPr>
        <w:ind w:left="6477" w:hanging="360"/>
      </w:pPr>
      <w:rPr>
        <w:rFonts w:ascii="Courier New" w:hAnsi="Courier New" w:cs="Courier New" w:hint="default"/>
      </w:rPr>
    </w:lvl>
    <w:lvl w:ilvl="8" w:tplc="042F0005" w:tentative="1">
      <w:start w:val="1"/>
      <w:numFmt w:val="bullet"/>
      <w:lvlText w:val=""/>
      <w:lvlJc w:val="left"/>
      <w:pPr>
        <w:ind w:left="7197" w:hanging="360"/>
      </w:pPr>
      <w:rPr>
        <w:rFonts w:ascii="Wingdings" w:hAnsi="Wingdings" w:hint="default"/>
      </w:rPr>
    </w:lvl>
  </w:abstractNum>
  <w:abstractNum w:abstractNumId="4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3"/>
  </w:num>
  <w:num w:numId="35">
    <w:abstractNumId w:val="35"/>
  </w:num>
  <w:num w:numId="36">
    <w:abstractNumId w:val="33"/>
  </w:num>
  <w:num w:numId="37">
    <w:abstractNumId w:val="37"/>
  </w:num>
  <w:num w:numId="38">
    <w:abstractNumId w:val="41"/>
  </w:num>
  <w:num w:numId="39">
    <w:abstractNumId w:val="45"/>
  </w:num>
  <w:num w:numId="40">
    <w:abstractNumId w:val="46"/>
  </w:num>
  <w:num w:numId="41">
    <w:abstractNumId w:val="42"/>
  </w:num>
  <w:num w:numId="42">
    <w:abstractNumId w:val="44"/>
  </w:num>
  <w:num w:numId="43">
    <w:abstractNumId w:val="38"/>
  </w:num>
  <w:num w:numId="44">
    <w:abstractNumId w:val="34"/>
  </w:num>
  <w:num w:numId="45">
    <w:abstractNumId w:val="47"/>
  </w:num>
  <w:num w:numId="46">
    <w:abstractNumId w:val="3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33EFD"/>
    <w:rsid w:val="00051D1D"/>
    <w:rsid w:val="00053823"/>
    <w:rsid w:val="00063FB5"/>
    <w:rsid w:val="0007067C"/>
    <w:rsid w:val="00080900"/>
    <w:rsid w:val="00087A72"/>
    <w:rsid w:val="00095030"/>
    <w:rsid w:val="000A0D57"/>
    <w:rsid w:val="000A3758"/>
    <w:rsid w:val="000B14E4"/>
    <w:rsid w:val="000B693E"/>
    <w:rsid w:val="000B7C91"/>
    <w:rsid w:val="000C1101"/>
    <w:rsid w:val="000C1522"/>
    <w:rsid w:val="000D1732"/>
    <w:rsid w:val="000D3EBF"/>
    <w:rsid w:val="000E4709"/>
    <w:rsid w:val="000F0F6C"/>
    <w:rsid w:val="000F1340"/>
    <w:rsid w:val="000F5DEF"/>
    <w:rsid w:val="0010162C"/>
    <w:rsid w:val="00105302"/>
    <w:rsid w:val="0013314C"/>
    <w:rsid w:val="001429BC"/>
    <w:rsid w:val="0014405E"/>
    <w:rsid w:val="00145CFA"/>
    <w:rsid w:val="00150687"/>
    <w:rsid w:val="001661F7"/>
    <w:rsid w:val="00171F2E"/>
    <w:rsid w:val="00172785"/>
    <w:rsid w:val="00180D47"/>
    <w:rsid w:val="001903F3"/>
    <w:rsid w:val="001951FE"/>
    <w:rsid w:val="001A59BB"/>
    <w:rsid w:val="001A66C2"/>
    <w:rsid w:val="001B2571"/>
    <w:rsid w:val="001C21A2"/>
    <w:rsid w:val="001C64F1"/>
    <w:rsid w:val="001D19A6"/>
    <w:rsid w:val="001D55F7"/>
    <w:rsid w:val="001D7B2B"/>
    <w:rsid w:val="001E50A2"/>
    <w:rsid w:val="001F0839"/>
    <w:rsid w:val="001F1546"/>
    <w:rsid w:val="001F780C"/>
    <w:rsid w:val="00201320"/>
    <w:rsid w:val="002065E9"/>
    <w:rsid w:val="002078BB"/>
    <w:rsid w:val="00212656"/>
    <w:rsid w:val="00213E14"/>
    <w:rsid w:val="00216179"/>
    <w:rsid w:val="00220AA4"/>
    <w:rsid w:val="00226829"/>
    <w:rsid w:val="00233B9D"/>
    <w:rsid w:val="00233DDA"/>
    <w:rsid w:val="00235A71"/>
    <w:rsid w:val="00240E11"/>
    <w:rsid w:val="002413EA"/>
    <w:rsid w:val="00243849"/>
    <w:rsid w:val="002575AA"/>
    <w:rsid w:val="00266EB7"/>
    <w:rsid w:val="00266EB9"/>
    <w:rsid w:val="002753AD"/>
    <w:rsid w:val="002845CD"/>
    <w:rsid w:val="00287536"/>
    <w:rsid w:val="002B2145"/>
    <w:rsid w:val="002D266E"/>
    <w:rsid w:val="002D4121"/>
    <w:rsid w:val="002E1B83"/>
    <w:rsid w:val="002E25ED"/>
    <w:rsid w:val="002E2635"/>
    <w:rsid w:val="002E7D33"/>
    <w:rsid w:val="002F4E69"/>
    <w:rsid w:val="003045C3"/>
    <w:rsid w:val="00313F6B"/>
    <w:rsid w:val="00322D52"/>
    <w:rsid w:val="003232ED"/>
    <w:rsid w:val="00323BDD"/>
    <w:rsid w:val="003262FC"/>
    <w:rsid w:val="00326B16"/>
    <w:rsid w:val="00330261"/>
    <w:rsid w:val="003378F6"/>
    <w:rsid w:val="00342E7F"/>
    <w:rsid w:val="00347673"/>
    <w:rsid w:val="00347E84"/>
    <w:rsid w:val="003574F5"/>
    <w:rsid w:val="00357E25"/>
    <w:rsid w:val="00362824"/>
    <w:rsid w:val="00363ECB"/>
    <w:rsid w:val="00364564"/>
    <w:rsid w:val="003670BA"/>
    <w:rsid w:val="003717BC"/>
    <w:rsid w:val="00371C5B"/>
    <w:rsid w:val="003861D9"/>
    <w:rsid w:val="0038633F"/>
    <w:rsid w:val="00386E96"/>
    <w:rsid w:val="0038796E"/>
    <w:rsid w:val="0039147E"/>
    <w:rsid w:val="00391D5F"/>
    <w:rsid w:val="0039347D"/>
    <w:rsid w:val="003947E7"/>
    <w:rsid w:val="00397073"/>
    <w:rsid w:val="003A4357"/>
    <w:rsid w:val="003B1B35"/>
    <w:rsid w:val="003C1515"/>
    <w:rsid w:val="003D16FB"/>
    <w:rsid w:val="003D37C2"/>
    <w:rsid w:val="003D6CAD"/>
    <w:rsid w:val="003E782D"/>
    <w:rsid w:val="0040360C"/>
    <w:rsid w:val="004108A4"/>
    <w:rsid w:val="00424124"/>
    <w:rsid w:val="0043533D"/>
    <w:rsid w:val="00452ED8"/>
    <w:rsid w:val="0045494F"/>
    <w:rsid w:val="004563EB"/>
    <w:rsid w:val="004567DF"/>
    <w:rsid w:val="00472630"/>
    <w:rsid w:val="00473883"/>
    <w:rsid w:val="00476D80"/>
    <w:rsid w:val="00480B5C"/>
    <w:rsid w:val="00480C87"/>
    <w:rsid w:val="004850B4"/>
    <w:rsid w:val="004901C2"/>
    <w:rsid w:val="004957E5"/>
    <w:rsid w:val="00496719"/>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5F3"/>
    <w:rsid w:val="005639EC"/>
    <w:rsid w:val="00565A69"/>
    <w:rsid w:val="00571687"/>
    <w:rsid w:val="00572F15"/>
    <w:rsid w:val="00573F7A"/>
    <w:rsid w:val="00584BF4"/>
    <w:rsid w:val="00584D96"/>
    <w:rsid w:val="00590ADB"/>
    <w:rsid w:val="005A21DC"/>
    <w:rsid w:val="005B35A2"/>
    <w:rsid w:val="005B4F80"/>
    <w:rsid w:val="005B5E3C"/>
    <w:rsid w:val="005C71EF"/>
    <w:rsid w:val="005D41DD"/>
    <w:rsid w:val="005F0AF0"/>
    <w:rsid w:val="005F776D"/>
    <w:rsid w:val="0060359F"/>
    <w:rsid w:val="0061336A"/>
    <w:rsid w:val="006277AA"/>
    <w:rsid w:val="006309DE"/>
    <w:rsid w:val="00632BDC"/>
    <w:rsid w:val="0064390B"/>
    <w:rsid w:val="00663C6D"/>
    <w:rsid w:val="006714ED"/>
    <w:rsid w:val="006738B9"/>
    <w:rsid w:val="006743E3"/>
    <w:rsid w:val="00674F9C"/>
    <w:rsid w:val="006751D2"/>
    <w:rsid w:val="006770CA"/>
    <w:rsid w:val="00686C3A"/>
    <w:rsid w:val="00692740"/>
    <w:rsid w:val="00697F82"/>
    <w:rsid w:val="006A0598"/>
    <w:rsid w:val="006A66DA"/>
    <w:rsid w:val="006A7394"/>
    <w:rsid w:val="006B2EDA"/>
    <w:rsid w:val="006B59B9"/>
    <w:rsid w:val="006C0EB6"/>
    <w:rsid w:val="006C0F37"/>
    <w:rsid w:val="006C2024"/>
    <w:rsid w:val="006D330F"/>
    <w:rsid w:val="006D6080"/>
    <w:rsid w:val="006E3377"/>
    <w:rsid w:val="006E625F"/>
    <w:rsid w:val="006F5FD0"/>
    <w:rsid w:val="006F7885"/>
    <w:rsid w:val="007046C8"/>
    <w:rsid w:val="00706E7C"/>
    <w:rsid w:val="00710A38"/>
    <w:rsid w:val="00711A01"/>
    <w:rsid w:val="007121FB"/>
    <w:rsid w:val="007129D6"/>
    <w:rsid w:val="00712CB3"/>
    <w:rsid w:val="00715755"/>
    <w:rsid w:val="00730668"/>
    <w:rsid w:val="007471C5"/>
    <w:rsid w:val="00750FF8"/>
    <w:rsid w:val="00753FC2"/>
    <w:rsid w:val="00756C38"/>
    <w:rsid w:val="00761673"/>
    <w:rsid w:val="00761893"/>
    <w:rsid w:val="007653F4"/>
    <w:rsid w:val="00770822"/>
    <w:rsid w:val="00771F85"/>
    <w:rsid w:val="00771F97"/>
    <w:rsid w:val="007727F3"/>
    <w:rsid w:val="007751CA"/>
    <w:rsid w:val="0077776E"/>
    <w:rsid w:val="00780EAB"/>
    <w:rsid w:val="00781603"/>
    <w:rsid w:val="007874C8"/>
    <w:rsid w:val="00787BB5"/>
    <w:rsid w:val="00794A92"/>
    <w:rsid w:val="00796976"/>
    <w:rsid w:val="00796CC5"/>
    <w:rsid w:val="007A04AC"/>
    <w:rsid w:val="007A4037"/>
    <w:rsid w:val="007C352C"/>
    <w:rsid w:val="007C6CB1"/>
    <w:rsid w:val="007D51F2"/>
    <w:rsid w:val="007D6292"/>
    <w:rsid w:val="007D761E"/>
    <w:rsid w:val="007F095B"/>
    <w:rsid w:val="007F26E3"/>
    <w:rsid w:val="007F5383"/>
    <w:rsid w:val="007F6AA9"/>
    <w:rsid w:val="008006B4"/>
    <w:rsid w:val="00800827"/>
    <w:rsid w:val="00810582"/>
    <w:rsid w:val="00811F46"/>
    <w:rsid w:val="008127E6"/>
    <w:rsid w:val="00813A48"/>
    <w:rsid w:val="008152EF"/>
    <w:rsid w:val="008162F6"/>
    <w:rsid w:val="00817895"/>
    <w:rsid w:val="00817B4A"/>
    <w:rsid w:val="00820CDB"/>
    <w:rsid w:val="008272C0"/>
    <w:rsid w:val="00831982"/>
    <w:rsid w:val="008323D3"/>
    <w:rsid w:val="008351FF"/>
    <w:rsid w:val="00846F87"/>
    <w:rsid w:val="00862885"/>
    <w:rsid w:val="008660AD"/>
    <w:rsid w:val="0087086B"/>
    <w:rsid w:val="00870FC9"/>
    <w:rsid w:val="00881C2D"/>
    <w:rsid w:val="00886ED7"/>
    <w:rsid w:val="00894E29"/>
    <w:rsid w:val="0089693D"/>
    <w:rsid w:val="008A1184"/>
    <w:rsid w:val="008A1514"/>
    <w:rsid w:val="008B0830"/>
    <w:rsid w:val="008B77CD"/>
    <w:rsid w:val="008C3178"/>
    <w:rsid w:val="008C68A0"/>
    <w:rsid w:val="008D1243"/>
    <w:rsid w:val="008D3E45"/>
    <w:rsid w:val="008E13D5"/>
    <w:rsid w:val="008E2D12"/>
    <w:rsid w:val="008F294D"/>
    <w:rsid w:val="009017AA"/>
    <w:rsid w:val="009055F3"/>
    <w:rsid w:val="0090581D"/>
    <w:rsid w:val="009066B6"/>
    <w:rsid w:val="00907556"/>
    <w:rsid w:val="00913817"/>
    <w:rsid w:val="0092504E"/>
    <w:rsid w:val="00925F7F"/>
    <w:rsid w:val="009260B8"/>
    <w:rsid w:val="0092731B"/>
    <w:rsid w:val="009317C0"/>
    <w:rsid w:val="009352F4"/>
    <w:rsid w:val="00940E1D"/>
    <w:rsid w:val="009510CB"/>
    <w:rsid w:val="00952960"/>
    <w:rsid w:val="00954FB8"/>
    <w:rsid w:val="00956BA0"/>
    <w:rsid w:val="0096032B"/>
    <w:rsid w:val="009707C4"/>
    <w:rsid w:val="00970A93"/>
    <w:rsid w:val="00970B01"/>
    <w:rsid w:val="00971962"/>
    <w:rsid w:val="00971CC5"/>
    <w:rsid w:val="00980AEA"/>
    <w:rsid w:val="00991002"/>
    <w:rsid w:val="00994EA3"/>
    <w:rsid w:val="009A38DE"/>
    <w:rsid w:val="009B06B5"/>
    <w:rsid w:val="009B5369"/>
    <w:rsid w:val="009B69BE"/>
    <w:rsid w:val="009D7C0E"/>
    <w:rsid w:val="009E5BC1"/>
    <w:rsid w:val="009E5C83"/>
    <w:rsid w:val="009F0852"/>
    <w:rsid w:val="009F128B"/>
    <w:rsid w:val="009F5FB4"/>
    <w:rsid w:val="00A00BD5"/>
    <w:rsid w:val="00A021B5"/>
    <w:rsid w:val="00A02E6B"/>
    <w:rsid w:val="00A03055"/>
    <w:rsid w:val="00A046E7"/>
    <w:rsid w:val="00A04B00"/>
    <w:rsid w:val="00A11931"/>
    <w:rsid w:val="00A171EA"/>
    <w:rsid w:val="00A22177"/>
    <w:rsid w:val="00A236A4"/>
    <w:rsid w:val="00A32630"/>
    <w:rsid w:val="00A35081"/>
    <w:rsid w:val="00A36F1C"/>
    <w:rsid w:val="00A433A6"/>
    <w:rsid w:val="00A43E7A"/>
    <w:rsid w:val="00A46ED3"/>
    <w:rsid w:val="00A504E1"/>
    <w:rsid w:val="00A609E7"/>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5A17"/>
    <w:rsid w:val="00C171B6"/>
    <w:rsid w:val="00C2011B"/>
    <w:rsid w:val="00C2062A"/>
    <w:rsid w:val="00C25EF9"/>
    <w:rsid w:val="00C30183"/>
    <w:rsid w:val="00C316FC"/>
    <w:rsid w:val="00C3644F"/>
    <w:rsid w:val="00C36666"/>
    <w:rsid w:val="00C43AAC"/>
    <w:rsid w:val="00C460D8"/>
    <w:rsid w:val="00C52B1A"/>
    <w:rsid w:val="00C5322B"/>
    <w:rsid w:val="00C61B8C"/>
    <w:rsid w:val="00C640A4"/>
    <w:rsid w:val="00C712DE"/>
    <w:rsid w:val="00C836E5"/>
    <w:rsid w:val="00C83C65"/>
    <w:rsid w:val="00C840D0"/>
    <w:rsid w:val="00C843AC"/>
    <w:rsid w:val="00C867B9"/>
    <w:rsid w:val="00CA3B1B"/>
    <w:rsid w:val="00CB02C9"/>
    <w:rsid w:val="00CB23E3"/>
    <w:rsid w:val="00CB2A5B"/>
    <w:rsid w:val="00CB759D"/>
    <w:rsid w:val="00CB7AAE"/>
    <w:rsid w:val="00CC0A41"/>
    <w:rsid w:val="00CC3BA0"/>
    <w:rsid w:val="00CC48C9"/>
    <w:rsid w:val="00CD765A"/>
    <w:rsid w:val="00CE49A1"/>
    <w:rsid w:val="00CF759C"/>
    <w:rsid w:val="00D00216"/>
    <w:rsid w:val="00D011CD"/>
    <w:rsid w:val="00D06A30"/>
    <w:rsid w:val="00D14A9D"/>
    <w:rsid w:val="00D17A30"/>
    <w:rsid w:val="00D225CC"/>
    <w:rsid w:val="00D22682"/>
    <w:rsid w:val="00D240C3"/>
    <w:rsid w:val="00D2786B"/>
    <w:rsid w:val="00D32849"/>
    <w:rsid w:val="00D33DD9"/>
    <w:rsid w:val="00D434A7"/>
    <w:rsid w:val="00D46724"/>
    <w:rsid w:val="00D517A4"/>
    <w:rsid w:val="00D51C7E"/>
    <w:rsid w:val="00D549F4"/>
    <w:rsid w:val="00D56AF9"/>
    <w:rsid w:val="00D64101"/>
    <w:rsid w:val="00D64A4E"/>
    <w:rsid w:val="00D8773C"/>
    <w:rsid w:val="00D87D0A"/>
    <w:rsid w:val="00D93082"/>
    <w:rsid w:val="00D97139"/>
    <w:rsid w:val="00DA0ABA"/>
    <w:rsid w:val="00DA388D"/>
    <w:rsid w:val="00DC0253"/>
    <w:rsid w:val="00DC4F70"/>
    <w:rsid w:val="00DC753D"/>
    <w:rsid w:val="00DD0CD4"/>
    <w:rsid w:val="00DE3C11"/>
    <w:rsid w:val="00DF04F0"/>
    <w:rsid w:val="00E128DF"/>
    <w:rsid w:val="00E147D3"/>
    <w:rsid w:val="00E1782A"/>
    <w:rsid w:val="00E21BC3"/>
    <w:rsid w:val="00E23A94"/>
    <w:rsid w:val="00E30BB5"/>
    <w:rsid w:val="00E31447"/>
    <w:rsid w:val="00E422A2"/>
    <w:rsid w:val="00E5220B"/>
    <w:rsid w:val="00E6172B"/>
    <w:rsid w:val="00E669EC"/>
    <w:rsid w:val="00E66A55"/>
    <w:rsid w:val="00E713DA"/>
    <w:rsid w:val="00E813B7"/>
    <w:rsid w:val="00E81C0B"/>
    <w:rsid w:val="00E82874"/>
    <w:rsid w:val="00E845AC"/>
    <w:rsid w:val="00E867FC"/>
    <w:rsid w:val="00E9047D"/>
    <w:rsid w:val="00E97A06"/>
    <w:rsid w:val="00EA399C"/>
    <w:rsid w:val="00EA7B74"/>
    <w:rsid w:val="00EB4C19"/>
    <w:rsid w:val="00EC1215"/>
    <w:rsid w:val="00EC7EB7"/>
    <w:rsid w:val="00ED5FA0"/>
    <w:rsid w:val="00EE0A07"/>
    <w:rsid w:val="00EE6E92"/>
    <w:rsid w:val="00EF03C9"/>
    <w:rsid w:val="00EF0A8C"/>
    <w:rsid w:val="00EF6A28"/>
    <w:rsid w:val="00EF6FBF"/>
    <w:rsid w:val="00F014D9"/>
    <w:rsid w:val="00F05BF1"/>
    <w:rsid w:val="00F06A6A"/>
    <w:rsid w:val="00F07EE2"/>
    <w:rsid w:val="00F1778E"/>
    <w:rsid w:val="00F17A90"/>
    <w:rsid w:val="00F233FF"/>
    <w:rsid w:val="00F27C45"/>
    <w:rsid w:val="00F33C45"/>
    <w:rsid w:val="00F36AE6"/>
    <w:rsid w:val="00F46873"/>
    <w:rsid w:val="00F4786D"/>
    <w:rsid w:val="00F504CC"/>
    <w:rsid w:val="00F50E8B"/>
    <w:rsid w:val="00F60220"/>
    <w:rsid w:val="00F76A8F"/>
    <w:rsid w:val="00F77C8A"/>
    <w:rsid w:val="00F8140A"/>
    <w:rsid w:val="00F86AAA"/>
    <w:rsid w:val="00F9055E"/>
    <w:rsid w:val="00F91683"/>
    <w:rsid w:val="00FA17FC"/>
    <w:rsid w:val="00FB17AC"/>
    <w:rsid w:val="00FC622D"/>
    <w:rsid w:val="00FD5083"/>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9B536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sid w:val="001951FE"/>
    <w:rPr>
      <w:sz w:val="20"/>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link w:val="Heading4"/>
    <w:semiHidden/>
    <w:rsid w:val="009B5369"/>
    <w:rPr>
      <w:rFonts w:ascii="Calibri" w:eastAsia="Times New Roman" w:hAnsi="Calibri" w:cs="Times New Roman"/>
      <w:b/>
      <w:bCs/>
      <w:snapToGrid w:val="0"/>
      <w:sz w:val="28"/>
      <w:szCs w:val="28"/>
      <w:lang w:val="en-US" w:eastAsia="en-US"/>
    </w:rPr>
  </w:style>
  <w:style w:type="paragraph" w:customStyle="1" w:styleId="Default">
    <w:name w:val="Default"/>
    <w:rsid w:val="0092504E"/>
    <w:pPr>
      <w:autoSpaceDE w:val="0"/>
      <w:autoSpaceDN w:val="0"/>
      <w:adjustRightInd w:val="0"/>
    </w:pPr>
    <w:rPr>
      <w:rFonts w:ascii="Minion Pro" w:hAnsi="Minion Pro" w:cs="Minion Pro"/>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budget/graphs/inforeuro.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8941-8D08-49DC-853A-7B7F921D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10482</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TatjanaS</cp:lastModifiedBy>
  <cp:revision>11</cp:revision>
  <cp:lastPrinted>2024-06-14T12:45:00Z</cp:lastPrinted>
  <dcterms:created xsi:type="dcterms:W3CDTF">2024-06-17T14:03:00Z</dcterms:created>
  <dcterms:modified xsi:type="dcterms:W3CDTF">2025-07-07T11:02:00Z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6bd9ddd1-4d20-43f6-abfa-fc3c07406f94_Enabled">
    <vt:lpwstr>true</vt:lpwstr>
  </property>
  <property fmtid="{D5CDD505-2E9C-101B-9397-08002B2CF9AE}" pid="5" name="MSIP_Label_6bd9ddd1-4d20-43f6-abfa-fc3c07406f94_SetDate">
    <vt:lpwstr>2023-04-04T08:24:05Z</vt:lpwstr>
  </property>
  <property fmtid="{D5CDD505-2E9C-101B-9397-08002B2CF9AE}" pid="6" name="MSIP_Label_6bd9ddd1-4d20-43f6-abfa-fc3c07406f94_Method">
    <vt:lpwstr>Privileged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e2b06f07-c8cb-47fd-ac19-36a976675b57</vt:lpwstr>
  </property>
  <property fmtid="{D5CDD505-2E9C-101B-9397-08002B2CF9AE}" pid="10" name="MSIP_Label_6bd9ddd1-4d20-43f6-abfa-fc3c07406f94_ContentBits">
    <vt:lpwstr>0</vt:lpwstr>
  </property>
</Properties>
</file>