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90" w:rsidRPr="00B33EE6" w:rsidRDefault="00AE7E90">
      <w:pPr>
        <w:jc w:val="center"/>
        <w:rPr>
          <w:rStyle w:val="Strong"/>
          <w:sz w:val="28"/>
          <w:szCs w:val="28"/>
          <w:lang w:val="en-GB"/>
        </w:rPr>
      </w:pPr>
      <w:r w:rsidRPr="00B33EE6">
        <w:rPr>
          <w:b/>
          <w:bCs/>
          <w:sz w:val="28"/>
          <w:szCs w:val="28"/>
          <w:lang w:val="en-GB"/>
        </w:rPr>
        <w:t>SERVICE CONTRACT NOTICE</w:t>
      </w:r>
    </w:p>
    <w:p w:rsidR="00AE7E90" w:rsidRDefault="00AE7E90">
      <w:pPr>
        <w:jc w:val="center"/>
        <w:rPr>
          <w:rStyle w:val="Strong"/>
          <w:sz w:val="28"/>
          <w:szCs w:val="28"/>
          <w:lang w:val="en-GB"/>
        </w:rPr>
      </w:pPr>
      <w:r>
        <w:rPr>
          <w:rStyle w:val="Strong"/>
          <w:sz w:val="28"/>
          <w:szCs w:val="28"/>
          <w:lang w:val="en-GB"/>
        </w:rPr>
        <w:t xml:space="preserve">Creation (design and printing) of Map Guide for Holy Water trial </w:t>
      </w:r>
    </w:p>
    <w:p w:rsidR="00AE7E90" w:rsidRDefault="00AE7E90">
      <w:pPr>
        <w:jc w:val="center"/>
        <w:rPr>
          <w:rStyle w:val="Strong"/>
          <w:sz w:val="28"/>
          <w:szCs w:val="28"/>
          <w:lang w:val="en-GB"/>
        </w:rPr>
      </w:pPr>
      <w:r>
        <w:rPr>
          <w:rStyle w:val="Strong"/>
          <w:sz w:val="28"/>
          <w:szCs w:val="28"/>
          <w:lang w:val="en-GB"/>
        </w:rPr>
        <w:t xml:space="preserve">Resen, Municipality of Resen, Republic of North Macedonia </w:t>
      </w:r>
    </w:p>
    <w:p w:rsidR="00AE7E90" w:rsidRPr="00B33EE6" w:rsidRDefault="00AE7E90"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AE7E90" w:rsidRPr="005A7AEA" w:rsidRDefault="00AE7E90" w:rsidP="0051212F">
      <w:pPr>
        <w:pStyle w:val="Blockquote"/>
        <w:rPr>
          <w:i/>
          <w:iCs/>
          <w:sz w:val="22"/>
          <w:szCs w:val="22"/>
          <w:lang w:val="en-GB"/>
        </w:rPr>
      </w:pPr>
      <w:r w:rsidRPr="005A7AEA">
        <w:rPr>
          <w:b/>
          <w:bCs/>
          <w:sz w:val="22"/>
          <w:szCs w:val="22"/>
        </w:rPr>
        <w:t>HOLY WATER, CN1-SO1.3-</w:t>
      </w:r>
      <w:r>
        <w:rPr>
          <w:b/>
          <w:bCs/>
          <w:sz w:val="22"/>
          <w:szCs w:val="22"/>
        </w:rPr>
        <w:t xml:space="preserve"> SC040, Del .5.2.1 ( 09-1614/1 )</w:t>
      </w:r>
    </w:p>
    <w:p w:rsidR="00AE7E90" w:rsidRPr="00B33EE6" w:rsidRDefault="00AE7E90"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AE7E90" w:rsidRPr="00B33EE6" w:rsidRDefault="00AE7E90" w:rsidP="00C867B9">
      <w:pPr>
        <w:pStyle w:val="Blockquote"/>
        <w:ind w:left="0"/>
        <w:jc w:val="both"/>
        <w:rPr>
          <w:sz w:val="22"/>
          <w:szCs w:val="22"/>
          <w:lang w:val="en-GB"/>
        </w:rPr>
      </w:pPr>
      <w:r w:rsidRPr="0051212F">
        <w:rPr>
          <w:sz w:val="22"/>
          <w:szCs w:val="22"/>
          <w:lang w:val="en-GB"/>
        </w:rPr>
        <w:t xml:space="preserve">       Single tender</w:t>
      </w:r>
      <w:r w:rsidRPr="00B33EE6">
        <w:rPr>
          <w:sz w:val="22"/>
          <w:szCs w:val="22"/>
          <w:lang w:val="en-GB"/>
        </w:rPr>
        <w:t xml:space="preserve"> </w:t>
      </w:r>
    </w:p>
    <w:p w:rsidR="00AE7E90" w:rsidRPr="00B33EE6" w:rsidRDefault="00AE7E90"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AE7E90" w:rsidRPr="0072202E" w:rsidRDefault="00AE7E90" w:rsidP="0051212F">
      <w:pPr>
        <w:pStyle w:val="PRAGHeading2"/>
        <w:numPr>
          <w:ilvl w:val="0"/>
          <w:numId w:val="0"/>
        </w:numPr>
        <w:ind w:left="357" w:right="357"/>
        <w:rPr>
          <w:sz w:val="22"/>
          <w:szCs w:val="22"/>
          <w:lang w:val="en-GB"/>
        </w:rPr>
      </w:pPr>
      <w:r w:rsidRPr="0072202E">
        <w:rPr>
          <w:sz w:val="22"/>
          <w:szCs w:val="22"/>
          <w:lang w:val="en-GB"/>
        </w:rPr>
        <w:t>INTERREG IPA Cross Border Cooperation Programme ″Greece- Republic of North Macedonia 2014-2020</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AE7E90" w:rsidRDefault="00AE7E90" w:rsidP="0051212F">
      <w:pPr>
        <w:ind w:left="709" w:hanging="349"/>
        <w:outlineLvl w:val="0"/>
        <w:rPr>
          <w:rStyle w:val="Strong"/>
          <w:sz w:val="22"/>
          <w:szCs w:val="22"/>
          <w:lang w:val="en-GB"/>
        </w:rPr>
      </w:pPr>
      <w:r>
        <w:rPr>
          <w:rStyle w:val="Emphasis"/>
          <w:i w:val="0"/>
          <w:iCs w:val="0"/>
          <w:sz w:val="22"/>
          <w:szCs w:val="22"/>
          <w:lang w:val="en-GB"/>
        </w:rPr>
        <w:t xml:space="preserve">Project  HOLY WATER </w:t>
      </w:r>
      <w:r w:rsidRPr="005A7AEA">
        <w:rPr>
          <w:rStyle w:val="Emphasis"/>
          <w:i w:val="0"/>
          <w:iCs w:val="0"/>
          <w:sz w:val="22"/>
          <w:szCs w:val="22"/>
          <w:lang w:val="en-GB"/>
        </w:rPr>
        <w:t xml:space="preserve"> CN1- SO 1.3 - SC 040</w:t>
      </w:r>
      <w:r>
        <w:rPr>
          <w:rStyle w:val="Emphasis"/>
          <w:i w:val="0"/>
          <w:iCs w:val="0"/>
          <w:sz w:val="22"/>
          <w:szCs w:val="22"/>
          <w:lang w:val="en-GB"/>
        </w:rPr>
        <w:t xml:space="preserve"> , Working Package 5, Budget Line 5</w:t>
      </w:r>
      <w:r w:rsidRPr="005A7AEA">
        <w:rPr>
          <w:rStyle w:val="Emphasis"/>
          <w:i w:val="0"/>
          <w:iCs w:val="0"/>
          <w:sz w:val="22"/>
          <w:szCs w:val="22"/>
          <w:lang w:val="en-GB"/>
        </w:rPr>
        <w:t>.2.</w:t>
      </w:r>
      <w:r>
        <w:rPr>
          <w:rStyle w:val="Emphasis"/>
          <w:i w:val="0"/>
          <w:iCs w:val="0"/>
          <w:sz w:val="22"/>
          <w:szCs w:val="22"/>
          <w:lang w:val="en-GB"/>
        </w:rPr>
        <w:t>1</w:t>
      </w:r>
      <w:r w:rsidRPr="00B33EE6">
        <w:rPr>
          <w:rStyle w:val="Strong"/>
          <w:sz w:val="22"/>
          <w:szCs w:val="22"/>
          <w:lang w:val="en-GB"/>
        </w:rPr>
        <w:t xml:space="preserve">. </w:t>
      </w:r>
    </w:p>
    <w:p w:rsidR="00AE7E90" w:rsidRPr="00BD63A4" w:rsidRDefault="00AE7E90" w:rsidP="0051212F">
      <w:pPr>
        <w:pStyle w:val="PRAGHeading2"/>
        <w:numPr>
          <w:ilvl w:val="0"/>
          <w:numId w:val="0"/>
        </w:numPr>
        <w:spacing w:before="0"/>
        <w:ind w:left="426"/>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AE7E90" w:rsidRDefault="00AE7E90" w:rsidP="0051212F">
      <w:pPr>
        <w:spacing w:before="0" w:after="0"/>
        <w:ind w:left="709"/>
        <w:jc w:val="both"/>
        <w:rPr>
          <w:lang w:val="en-GB"/>
        </w:rPr>
      </w:pPr>
      <w:r>
        <w:rPr>
          <w:lang w:val="en-GB"/>
        </w:rPr>
        <w:t xml:space="preserve">Republic of North Macedonia </w:t>
      </w:r>
    </w:p>
    <w:p w:rsidR="00AE7E90" w:rsidRDefault="00AE7E90" w:rsidP="0051212F">
      <w:pPr>
        <w:spacing w:before="0" w:after="0"/>
        <w:ind w:left="709"/>
        <w:jc w:val="both"/>
        <w:rPr>
          <w:lang w:val="en-GB"/>
        </w:rPr>
      </w:pPr>
      <w:r>
        <w:rPr>
          <w:lang w:val="en-GB"/>
        </w:rPr>
        <w:t xml:space="preserve">Municipality of Resen </w:t>
      </w:r>
    </w:p>
    <w:p w:rsidR="00AE7E90" w:rsidRDefault="00AE7E90" w:rsidP="0051212F">
      <w:pPr>
        <w:spacing w:before="0" w:after="0"/>
        <w:ind w:left="709"/>
        <w:jc w:val="both"/>
        <w:rPr>
          <w:lang w:val="en-GB"/>
        </w:rPr>
      </w:pPr>
      <w:r>
        <w:rPr>
          <w:lang w:val="en-GB"/>
        </w:rPr>
        <w:t xml:space="preserve">Square Car Samoil no. 20 , 7310 Resen,  </w:t>
      </w:r>
      <w:r>
        <w:rPr>
          <w:lang w:val="en-GB"/>
        </w:rPr>
        <w:tab/>
      </w:r>
      <w:r>
        <w:rPr>
          <w:lang w:val="en-GB"/>
        </w:rPr>
        <w:br/>
        <w:t xml:space="preserve">+389 47 551 770 </w:t>
      </w:r>
    </w:p>
    <w:p w:rsidR="00AE7E90" w:rsidRPr="00B33EE6" w:rsidRDefault="00AE7E90">
      <w:pPr>
        <w:rPr>
          <w:sz w:val="22"/>
          <w:szCs w:val="22"/>
          <w:lang w:val="en-GB"/>
        </w:rPr>
      </w:pPr>
      <w:r>
        <w:rPr>
          <w:noProof/>
          <w:lang w:val="mk-MK" w:eastAsia="mk-MK"/>
        </w:rPr>
        <w:pict>
          <v:line id="_x0000_s1026" style="position:absolute;z-index:251658240" from="0,12pt" to="468pt,12.05pt" o:allowincell="f" strokecolor="#d4d4d4" strokeweight="1.75pt">
            <v:shadow on="t" origin=",32385f" offset="0,-1pt"/>
          </v:line>
        </w:pict>
      </w:r>
    </w:p>
    <w:p w:rsidR="00AE7E90" w:rsidRPr="00B33EE6" w:rsidRDefault="00AE7E90" w:rsidP="00D517A4">
      <w:pPr>
        <w:jc w:val="center"/>
        <w:rPr>
          <w:sz w:val="28"/>
          <w:szCs w:val="28"/>
          <w:lang w:val="en-GB"/>
        </w:rPr>
      </w:pPr>
      <w:r w:rsidRPr="00B33EE6">
        <w:rPr>
          <w:rStyle w:val="Strong"/>
          <w:sz w:val="28"/>
          <w:szCs w:val="28"/>
          <w:lang w:val="en-GB"/>
        </w:rPr>
        <w:t>CONTRACT SPECIFICATION</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AE7E90" w:rsidRDefault="00AE7E90">
      <w:pPr>
        <w:pStyle w:val="Blockquote"/>
        <w:jc w:val="both"/>
        <w:rPr>
          <w:rStyle w:val="Emphasis"/>
          <w:i w:val="0"/>
          <w:iCs w:val="0"/>
          <w:sz w:val="22"/>
          <w:szCs w:val="22"/>
          <w:lang w:val="en-GB"/>
        </w:rPr>
      </w:pPr>
      <w:r w:rsidRPr="0051212F">
        <w:rPr>
          <w:rStyle w:val="Emphasis"/>
          <w:i w:val="0"/>
          <w:iCs w:val="0"/>
          <w:sz w:val="22"/>
          <w:szCs w:val="22"/>
          <w:lang w:val="en-GB"/>
        </w:rPr>
        <w:t>Global price</w:t>
      </w:r>
    </w:p>
    <w:p w:rsidR="00AE7E90" w:rsidRDefault="00AE7E90">
      <w:pPr>
        <w:pStyle w:val="Blockquote"/>
        <w:jc w:val="both"/>
        <w:rPr>
          <w:rStyle w:val="Emphasis"/>
          <w:i w:val="0"/>
          <w:iCs w:val="0"/>
          <w:sz w:val="22"/>
          <w:szCs w:val="22"/>
          <w:lang w:val="en-GB"/>
        </w:rPr>
      </w:pPr>
    </w:p>
    <w:p w:rsidR="00AE7E90" w:rsidRPr="00B33EE6" w:rsidRDefault="00AE7E90">
      <w:pPr>
        <w:pStyle w:val="Blockquote"/>
        <w:jc w:val="both"/>
        <w:rPr>
          <w:i/>
          <w:iCs/>
          <w:sz w:val="22"/>
          <w:szCs w:val="22"/>
          <w:lang w:val="en-GB"/>
        </w:rPr>
      </w:pPr>
    </w:p>
    <w:p w:rsidR="00AE7E90" w:rsidRPr="00B33EE6" w:rsidRDefault="00AE7E90"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AE7E90" w:rsidRDefault="00AE7E90" w:rsidP="0051212F">
      <w:pPr>
        <w:jc w:val="both"/>
        <w:rPr>
          <w:rStyle w:val="yiv1253775671styleverdana"/>
          <w:sz w:val="22"/>
          <w:szCs w:val="22"/>
        </w:rPr>
      </w:pPr>
      <w:r w:rsidRPr="007C55C2">
        <w:rPr>
          <w:rStyle w:val="yiv1253775671styleverdana"/>
          <w:sz w:val="22"/>
          <w:szCs w:val="22"/>
          <w:lang w:val="mk-MK"/>
        </w:rPr>
        <w:t xml:space="preserve">Municipality of Resen as a contracting authority has to conclude an Contract for services with selected contractor for creation of </w:t>
      </w:r>
      <w:r>
        <w:rPr>
          <w:rStyle w:val="yiv1253775671styleverdana"/>
          <w:sz w:val="22"/>
          <w:szCs w:val="22"/>
        </w:rPr>
        <w:t>Map Guide for tourist path HOLY WATER in Municipality of Resen. The</w:t>
      </w:r>
      <w:r w:rsidRPr="007C55C2">
        <w:rPr>
          <w:rStyle w:val="yiv1253775671styleverdana"/>
          <w:sz w:val="22"/>
          <w:szCs w:val="22"/>
        </w:rPr>
        <w:t xml:space="preserve"> </w:t>
      </w:r>
      <w:r>
        <w:rPr>
          <w:rStyle w:val="yiv1253775671styleverdana"/>
          <w:sz w:val="22"/>
          <w:szCs w:val="22"/>
        </w:rPr>
        <w:t>path</w:t>
      </w:r>
      <w:r w:rsidRPr="007C55C2">
        <w:rPr>
          <w:rStyle w:val="yiv1253775671styleverdana"/>
          <w:sz w:val="22"/>
          <w:szCs w:val="22"/>
        </w:rPr>
        <w:t xml:space="preserve"> </w:t>
      </w:r>
      <w:r>
        <w:rPr>
          <w:rStyle w:val="yiv1253775671styleverdana"/>
          <w:sz w:val="22"/>
          <w:szCs w:val="22"/>
        </w:rPr>
        <w:t>is</w:t>
      </w:r>
      <w:r w:rsidRPr="007C55C2">
        <w:rPr>
          <w:rStyle w:val="yiv1253775671styleverdana"/>
          <w:sz w:val="22"/>
          <w:szCs w:val="22"/>
        </w:rPr>
        <w:t xml:space="preserve"> </w:t>
      </w:r>
      <w:r>
        <w:rPr>
          <w:rStyle w:val="yiv1253775671styleverdana"/>
          <w:sz w:val="22"/>
          <w:szCs w:val="22"/>
        </w:rPr>
        <w:t>located</w:t>
      </w:r>
      <w:r w:rsidRPr="007C55C2">
        <w:rPr>
          <w:rStyle w:val="yiv1253775671styleverdana"/>
          <w:sz w:val="22"/>
          <w:szCs w:val="22"/>
        </w:rPr>
        <w:t xml:space="preserve"> </w:t>
      </w:r>
      <w:r>
        <w:rPr>
          <w:rStyle w:val="yiv1253775671styleverdana"/>
          <w:sz w:val="22"/>
          <w:szCs w:val="22"/>
        </w:rPr>
        <w:t>under</w:t>
      </w:r>
      <w:r w:rsidRPr="007C55C2">
        <w:rPr>
          <w:rStyle w:val="yiv1253775671styleverdana"/>
          <w:sz w:val="22"/>
          <w:szCs w:val="22"/>
        </w:rPr>
        <w:t xml:space="preserve"> </w:t>
      </w:r>
      <w:r>
        <w:rPr>
          <w:rStyle w:val="yiv1253775671styleverdana"/>
          <w:sz w:val="22"/>
          <w:szCs w:val="22"/>
        </w:rPr>
        <w:t>NP</w:t>
      </w:r>
      <w:r w:rsidRPr="007C55C2">
        <w:rPr>
          <w:rStyle w:val="yiv1253775671styleverdana"/>
          <w:sz w:val="22"/>
          <w:szCs w:val="22"/>
        </w:rPr>
        <w:t xml:space="preserve"> </w:t>
      </w:r>
      <w:r>
        <w:rPr>
          <w:rStyle w:val="yiv1253775671styleverdana"/>
          <w:sz w:val="22"/>
          <w:szCs w:val="22"/>
        </w:rPr>
        <w:t>Pelister</w:t>
      </w:r>
      <w:r w:rsidRPr="007C55C2">
        <w:rPr>
          <w:rStyle w:val="yiv1253775671styleverdana"/>
          <w:sz w:val="22"/>
          <w:szCs w:val="22"/>
        </w:rPr>
        <w:t xml:space="preserve"> </w:t>
      </w:r>
      <w:r>
        <w:rPr>
          <w:rStyle w:val="yiv1253775671styleverdana"/>
          <w:sz w:val="22"/>
          <w:szCs w:val="22"/>
        </w:rPr>
        <w:t>territory</w:t>
      </w:r>
      <w:r w:rsidRPr="007C55C2">
        <w:rPr>
          <w:rStyle w:val="yiv1253775671styleverdana"/>
          <w:sz w:val="22"/>
          <w:szCs w:val="22"/>
        </w:rPr>
        <w:t xml:space="preserve"> </w:t>
      </w:r>
      <w:r>
        <w:rPr>
          <w:rStyle w:val="yiv1253775671styleverdana"/>
          <w:sz w:val="22"/>
          <w:szCs w:val="22"/>
        </w:rPr>
        <w:t>in</w:t>
      </w:r>
      <w:r w:rsidRPr="007C55C2">
        <w:rPr>
          <w:rStyle w:val="yiv1253775671styleverdana"/>
          <w:sz w:val="22"/>
          <w:szCs w:val="22"/>
        </w:rPr>
        <w:t xml:space="preserve"> </w:t>
      </w:r>
      <w:r>
        <w:rPr>
          <w:rStyle w:val="yiv1253775671styleverdana"/>
          <w:sz w:val="22"/>
          <w:szCs w:val="22"/>
        </w:rPr>
        <w:t>the</w:t>
      </w:r>
      <w:r w:rsidRPr="007C55C2">
        <w:rPr>
          <w:rStyle w:val="yiv1253775671styleverdana"/>
          <w:sz w:val="22"/>
          <w:szCs w:val="22"/>
        </w:rPr>
        <w:t xml:space="preserve"> </w:t>
      </w:r>
      <w:r>
        <w:rPr>
          <w:rStyle w:val="yiv1253775671styleverdana"/>
          <w:sz w:val="22"/>
          <w:szCs w:val="22"/>
        </w:rPr>
        <w:t>slopes</w:t>
      </w:r>
      <w:r w:rsidRPr="007C55C2">
        <w:rPr>
          <w:rStyle w:val="yiv1253775671styleverdana"/>
          <w:sz w:val="22"/>
          <w:szCs w:val="22"/>
        </w:rPr>
        <w:t xml:space="preserve"> </w:t>
      </w:r>
      <w:r>
        <w:rPr>
          <w:rStyle w:val="yiv1253775671styleverdana"/>
          <w:sz w:val="22"/>
          <w:szCs w:val="22"/>
        </w:rPr>
        <w:t>of</w:t>
      </w:r>
      <w:r w:rsidRPr="007C55C2">
        <w:rPr>
          <w:rStyle w:val="yiv1253775671styleverdana"/>
          <w:sz w:val="22"/>
          <w:szCs w:val="22"/>
        </w:rPr>
        <w:t xml:space="preserve"> </w:t>
      </w:r>
      <w:r>
        <w:rPr>
          <w:rStyle w:val="yiv1253775671styleverdana"/>
          <w:sz w:val="22"/>
          <w:szCs w:val="22"/>
        </w:rPr>
        <w:t xml:space="preserve">Baba Planina in Resen municipality and it stretches in the following rural settlements: Podmochani, Grnchari, Kurbinovo, Slivnica and other nearby settlements. </w:t>
      </w:r>
    </w:p>
    <w:p w:rsidR="00AE7E90" w:rsidRDefault="00AE7E90" w:rsidP="0051212F">
      <w:pPr>
        <w:jc w:val="both"/>
        <w:rPr>
          <w:rStyle w:val="yiv1253775671styleverdana"/>
          <w:sz w:val="22"/>
          <w:szCs w:val="22"/>
        </w:rPr>
      </w:pPr>
      <w:r>
        <w:rPr>
          <w:rStyle w:val="yiv1253775671styleverdana"/>
          <w:sz w:val="22"/>
          <w:szCs w:val="22"/>
        </w:rPr>
        <w:t>In the frame of the Project HOLY WATER a</w:t>
      </w:r>
      <w:r w:rsidRPr="007C55C2">
        <w:rPr>
          <w:rStyle w:val="yiv1253775671styleverdana"/>
          <w:sz w:val="22"/>
          <w:szCs w:val="22"/>
        </w:rPr>
        <w:t xml:space="preserve"> </w:t>
      </w:r>
      <w:r>
        <w:rPr>
          <w:rStyle w:val="yiv1253775671styleverdana"/>
          <w:sz w:val="22"/>
          <w:szCs w:val="22"/>
        </w:rPr>
        <w:t>digital</w:t>
      </w:r>
      <w:r w:rsidRPr="007C55C2">
        <w:rPr>
          <w:rStyle w:val="yiv1253775671styleverdana"/>
          <w:sz w:val="22"/>
          <w:szCs w:val="22"/>
        </w:rPr>
        <w:t xml:space="preserve"> </w:t>
      </w:r>
      <w:r>
        <w:rPr>
          <w:rStyle w:val="yiv1253775671styleverdana"/>
          <w:sz w:val="22"/>
          <w:szCs w:val="22"/>
        </w:rPr>
        <w:t>map</w:t>
      </w:r>
      <w:r w:rsidRPr="007C55C2">
        <w:rPr>
          <w:rStyle w:val="yiv1253775671styleverdana"/>
          <w:sz w:val="22"/>
          <w:szCs w:val="22"/>
        </w:rPr>
        <w:t xml:space="preserve"> </w:t>
      </w:r>
      <w:r>
        <w:rPr>
          <w:rStyle w:val="yiv1253775671styleverdana"/>
          <w:sz w:val="22"/>
          <w:szCs w:val="22"/>
        </w:rPr>
        <w:t>was created with included review of tourist attractions and landmarks on the territory near the tourist path. The</w:t>
      </w:r>
      <w:r w:rsidRPr="007C55C2">
        <w:rPr>
          <w:rStyle w:val="yiv1253775671styleverdana"/>
          <w:sz w:val="22"/>
          <w:szCs w:val="22"/>
        </w:rPr>
        <w:t xml:space="preserve"> </w:t>
      </w:r>
      <w:r>
        <w:rPr>
          <w:rStyle w:val="yiv1253775671styleverdana"/>
          <w:sz w:val="22"/>
          <w:szCs w:val="22"/>
        </w:rPr>
        <w:t>digital</w:t>
      </w:r>
      <w:r w:rsidRPr="007C55C2">
        <w:rPr>
          <w:rStyle w:val="yiv1253775671styleverdana"/>
          <w:sz w:val="22"/>
          <w:szCs w:val="22"/>
        </w:rPr>
        <w:t xml:space="preserve"> </w:t>
      </w:r>
      <w:r>
        <w:rPr>
          <w:rStyle w:val="yiv1253775671styleverdana"/>
          <w:sz w:val="22"/>
          <w:szCs w:val="22"/>
        </w:rPr>
        <w:t>map covers</w:t>
      </w:r>
      <w:r w:rsidRPr="007C55C2">
        <w:rPr>
          <w:rStyle w:val="yiv1253775671styleverdana"/>
          <w:sz w:val="22"/>
          <w:szCs w:val="22"/>
        </w:rPr>
        <w:t xml:space="preserve"> </w:t>
      </w:r>
      <w:r>
        <w:rPr>
          <w:rStyle w:val="yiv1253775671styleverdana"/>
          <w:sz w:val="22"/>
          <w:szCs w:val="22"/>
        </w:rPr>
        <w:t>information</w:t>
      </w:r>
      <w:r w:rsidRPr="007C55C2">
        <w:rPr>
          <w:rStyle w:val="yiv1253775671styleverdana"/>
          <w:sz w:val="22"/>
          <w:szCs w:val="22"/>
        </w:rPr>
        <w:t xml:space="preserve"> </w:t>
      </w:r>
      <w:r>
        <w:rPr>
          <w:rStyle w:val="yiv1253775671styleverdana"/>
          <w:sz w:val="22"/>
          <w:szCs w:val="22"/>
        </w:rPr>
        <w:t>on</w:t>
      </w:r>
      <w:r w:rsidRPr="007C55C2">
        <w:rPr>
          <w:rStyle w:val="yiv1253775671styleverdana"/>
          <w:sz w:val="22"/>
          <w:szCs w:val="22"/>
        </w:rPr>
        <w:t xml:space="preserve"> </w:t>
      </w:r>
      <w:r>
        <w:rPr>
          <w:rStyle w:val="yiv1253775671styleverdana"/>
          <w:sz w:val="22"/>
          <w:szCs w:val="22"/>
        </w:rPr>
        <w:t>two</w:t>
      </w:r>
      <w:r w:rsidRPr="007C55C2">
        <w:rPr>
          <w:rStyle w:val="yiv1253775671styleverdana"/>
          <w:sz w:val="22"/>
          <w:szCs w:val="22"/>
        </w:rPr>
        <w:t xml:space="preserve"> </w:t>
      </w:r>
      <w:r>
        <w:rPr>
          <w:rStyle w:val="yiv1253775671styleverdana"/>
          <w:sz w:val="22"/>
          <w:szCs w:val="22"/>
        </w:rPr>
        <w:t xml:space="preserve">languages </w:t>
      </w:r>
      <w:r w:rsidRPr="007C55C2">
        <w:rPr>
          <w:rStyle w:val="yiv1253775671styleverdana"/>
          <w:sz w:val="22"/>
          <w:szCs w:val="22"/>
        </w:rPr>
        <w:t>(Macedonian</w:t>
      </w:r>
      <w:r>
        <w:rPr>
          <w:rStyle w:val="yiv1253775671styleverdana"/>
          <w:sz w:val="22"/>
          <w:szCs w:val="22"/>
        </w:rPr>
        <w:t xml:space="preserve"> and English). There are data for natural and cultural heritage, gastronomy, museums</w:t>
      </w:r>
      <w:r w:rsidRPr="005F727E">
        <w:rPr>
          <w:rStyle w:val="yiv1253775671styleverdana"/>
          <w:sz w:val="22"/>
          <w:szCs w:val="22"/>
        </w:rPr>
        <w:t>.</w:t>
      </w:r>
    </w:p>
    <w:p w:rsidR="00AE7E90" w:rsidRDefault="00AE7E90" w:rsidP="003C1DCA">
      <w:pPr>
        <w:jc w:val="both"/>
        <w:rPr>
          <w:b/>
          <w:bCs/>
        </w:rPr>
      </w:pPr>
      <w:r>
        <w:rPr>
          <w:sz w:val="22"/>
          <w:szCs w:val="22"/>
        </w:rPr>
        <w:t xml:space="preserve">The contractor should use data (text and photo) from the existing Digital Map. </w:t>
      </w:r>
      <w:hyperlink r:id="rId7" w:history="1">
        <w:r w:rsidRPr="002E7D16">
          <w:rPr>
            <w:rStyle w:val="Hyperlink"/>
            <w:b/>
            <w:bCs/>
            <w:lang w:val="mk-MK"/>
          </w:rPr>
          <w:t>https://play.google.com/store/apps/details?id=appholywaterresenonline.wpapp</w:t>
        </w:r>
      </w:hyperlink>
      <w:r>
        <w:rPr>
          <w:b/>
          <w:bCs/>
        </w:rPr>
        <w:t xml:space="preserve"> </w:t>
      </w:r>
    </w:p>
    <w:p w:rsidR="00AE7E90" w:rsidRDefault="00AE7E90" w:rsidP="003C1DCA">
      <w:pPr>
        <w:outlineLvl w:val="0"/>
        <w:rPr>
          <w:b/>
          <w:bCs/>
        </w:rPr>
      </w:pPr>
      <w:hyperlink r:id="rId8" w:history="1">
        <w:r w:rsidRPr="002E7D16">
          <w:rPr>
            <w:rStyle w:val="Hyperlink"/>
            <w:b/>
            <w:bCs/>
            <w:lang w:val="mk-MK"/>
          </w:rPr>
          <w:t>https://www.holywater-resen.online/</w:t>
        </w:r>
      </w:hyperlink>
    </w:p>
    <w:p w:rsidR="00AE7E90" w:rsidRDefault="00AE7E90" w:rsidP="00C50910">
      <w:pPr>
        <w:ind w:left="357"/>
        <w:jc w:val="both"/>
        <w:outlineLvl w:val="0"/>
        <w:rPr>
          <w:rStyle w:val="Emphasis"/>
          <w:i w:val="0"/>
          <w:iCs w:val="0"/>
          <w:sz w:val="22"/>
          <w:szCs w:val="22"/>
          <w:lang w:val="en-GB"/>
        </w:rPr>
      </w:pPr>
      <w:r>
        <w:rPr>
          <w:rStyle w:val="Emphasis"/>
          <w:i w:val="0"/>
          <w:iCs w:val="0"/>
          <w:sz w:val="22"/>
          <w:szCs w:val="22"/>
          <w:lang w:val="en-GB"/>
        </w:rPr>
        <w:t xml:space="preserve">For this purpose Map Guide with following specifications should be developed: </w:t>
      </w:r>
    </w:p>
    <w:p w:rsidR="00AE7E90" w:rsidRPr="009B749E" w:rsidRDefault="00AE7E90" w:rsidP="00C50910">
      <w:pPr>
        <w:numPr>
          <w:ilvl w:val="0"/>
          <w:numId w:val="47"/>
        </w:numPr>
        <w:jc w:val="both"/>
        <w:outlineLvl w:val="0"/>
      </w:pPr>
      <w:r>
        <w:t xml:space="preserve">Quantity : 5000 pieces </w:t>
      </w:r>
    </w:p>
    <w:p w:rsidR="00AE7E90" w:rsidRDefault="00AE7E90" w:rsidP="00C50910">
      <w:pPr>
        <w:numPr>
          <w:ilvl w:val="0"/>
          <w:numId w:val="47"/>
        </w:numPr>
        <w:jc w:val="both"/>
        <w:outlineLvl w:val="0"/>
      </w:pPr>
      <w:r>
        <w:t xml:space="preserve">Dimensions : A3 format , </w:t>
      </w:r>
      <w:r w:rsidRPr="009B749E">
        <w:t>folded several times to A6 format</w:t>
      </w:r>
      <w:r>
        <w:t xml:space="preserve">, </w:t>
      </w:r>
    </w:p>
    <w:p w:rsidR="00AE7E90" w:rsidRDefault="00AE7E90" w:rsidP="00C50910">
      <w:pPr>
        <w:numPr>
          <w:ilvl w:val="0"/>
          <w:numId w:val="47"/>
        </w:numPr>
        <w:jc w:val="both"/>
        <w:outlineLvl w:val="0"/>
      </w:pPr>
      <w:r>
        <w:t xml:space="preserve">text and photos </w:t>
      </w:r>
    </w:p>
    <w:p w:rsidR="00AE7E90" w:rsidRDefault="00AE7E90" w:rsidP="00C50910">
      <w:pPr>
        <w:numPr>
          <w:ilvl w:val="0"/>
          <w:numId w:val="47"/>
        </w:numPr>
        <w:jc w:val="both"/>
        <w:outlineLvl w:val="0"/>
      </w:pPr>
      <w:r>
        <w:t xml:space="preserve">color printing on both sides,  </w:t>
      </w:r>
    </w:p>
    <w:p w:rsidR="00AE7E90" w:rsidRDefault="00AE7E90" w:rsidP="00C50910">
      <w:pPr>
        <w:numPr>
          <w:ilvl w:val="0"/>
          <w:numId w:val="47"/>
        </w:numPr>
        <w:jc w:val="both"/>
        <w:outlineLvl w:val="0"/>
      </w:pPr>
      <w:r>
        <w:t xml:space="preserve">two languages ( Macedonian and English ) </w:t>
      </w:r>
    </w:p>
    <w:p w:rsidR="00AE7E90" w:rsidRPr="002F6D2B" w:rsidRDefault="00AE7E90" w:rsidP="0093077C">
      <w:pPr>
        <w:keepNext/>
        <w:keepLines/>
        <w:rPr>
          <w:sz w:val="22"/>
          <w:szCs w:val="22"/>
        </w:rPr>
      </w:pPr>
      <w:r w:rsidRPr="002F6D2B">
        <w:rPr>
          <w:b/>
          <w:bCs/>
          <w:sz w:val="22"/>
          <w:szCs w:val="22"/>
        </w:rPr>
        <w:t xml:space="preserve">Right to use data </w:t>
      </w:r>
    </w:p>
    <w:p w:rsidR="00AE7E90" w:rsidRPr="002F6D2B" w:rsidRDefault="00AE7E90" w:rsidP="0093077C">
      <w:pPr>
        <w:keepNext/>
        <w:keepLines/>
        <w:rPr>
          <w:sz w:val="22"/>
          <w:szCs w:val="22"/>
        </w:rPr>
      </w:pPr>
      <w:r w:rsidRPr="002F6D2B">
        <w:rPr>
          <w:sz w:val="22"/>
          <w:szCs w:val="22"/>
        </w:rPr>
        <w:t>All data, information</w:t>
      </w:r>
      <w:r>
        <w:rPr>
          <w:sz w:val="22"/>
          <w:szCs w:val="22"/>
        </w:rPr>
        <w:t>, photos and the whole designed material should be sent to the Contracting authority in electronic version on CD in appropriate format for future usage of promotional materials. C</w:t>
      </w:r>
      <w:r w:rsidRPr="002F6D2B">
        <w:rPr>
          <w:sz w:val="22"/>
          <w:szCs w:val="22"/>
        </w:rPr>
        <w:t xml:space="preserve">ontracting authority can use them for its own needs, free of charge and without payment for copyrights. </w:t>
      </w:r>
    </w:p>
    <w:p w:rsidR="00AE7E90" w:rsidRPr="00A805EA" w:rsidRDefault="00AE7E90" w:rsidP="0093077C">
      <w:pPr>
        <w:pStyle w:val="ListBullet"/>
        <w:numPr>
          <w:ilvl w:val="0"/>
          <w:numId w:val="0"/>
        </w:numPr>
        <w:rPr>
          <w:rFonts w:ascii="Times New Roman" w:hAnsi="Times New Roman" w:cs="Times New Roman"/>
          <w:sz w:val="22"/>
          <w:szCs w:val="22"/>
        </w:rPr>
      </w:pPr>
      <w:r w:rsidRPr="002F6D2B">
        <w:rPr>
          <w:rFonts w:ascii="Times New Roman" w:hAnsi="Times New Roman" w:cs="Times New Roman"/>
          <w:b/>
          <w:bCs/>
          <w:sz w:val="22"/>
          <w:szCs w:val="22"/>
        </w:rPr>
        <w:t xml:space="preserve">General obligation: </w:t>
      </w:r>
      <w:r w:rsidRPr="002F6D2B">
        <w:rPr>
          <w:rFonts w:ascii="Times New Roman" w:hAnsi="Times New Roman" w:cs="Times New Roman"/>
          <w:sz w:val="22"/>
          <w:szCs w:val="22"/>
        </w:rPr>
        <w:t>The activities by the contractor must comply with the rules lay down in the Communication and Visibility Manual for EU External Actions published by the European Commission.</w:t>
      </w:r>
      <w:r w:rsidRPr="002F6D2B">
        <w:rPr>
          <w:rFonts w:ascii="Times New Roman" w:hAnsi="Times New Roman" w:cs="Times New Roman"/>
        </w:rPr>
        <w:t xml:space="preserve"> </w:t>
      </w:r>
      <w:hyperlink r:id="rId9" w:history="1">
        <w:r w:rsidRPr="002F6D2B">
          <w:rPr>
            <w:rStyle w:val="Hyperlink"/>
            <w:rFonts w:ascii="Times New Roman" w:hAnsi="Times New Roman" w:cs="Times New Roman"/>
            <w:sz w:val="22"/>
            <w:szCs w:val="22"/>
          </w:rPr>
          <w:t>https://ec.europa.eu/international-partnerships/comm-visibility-requirements_en</w:t>
        </w:r>
      </w:hyperlink>
      <w:r w:rsidRPr="00A805EA">
        <w:rPr>
          <w:rFonts w:ascii="Times New Roman" w:hAnsi="Times New Roman" w:cs="Times New Roman"/>
          <w:sz w:val="22"/>
          <w:szCs w:val="22"/>
        </w:rPr>
        <w:t xml:space="preserve"> </w:t>
      </w:r>
    </w:p>
    <w:p w:rsidR="00AE7E90" w:rsidRPr="004D412F" w:rsidRDefault="00AE7E90" w:rsidP="0093077C">
      <w:pPr>
        <w:ind w:left="357"/>
        <w:jc w:val="both"/>
        <w:outlineLvl w:val="0"/>
      </w:pP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AE7E90" w:rsidRPr="00B33EE6" w:rsidRDefault="00AE7E90" w:rsidP="00584BF4">
      <w:pPr>
        <w:ind w:left="709" w:hanging="349"/>
        <w:outlineLvl w:val="0"/>
        <w:rPr>
          <w:rStyle w:val="Emphasis"/>
          <w:i w:val="0"/>
          <w:iCs w:val="0"/>
          <w:sz w:val="22"/>
          <w:szCs w:val="22"/>
          <w:lang w:val="en-GB"/>
        </w:rPr>
      </w:pPr>
      <w:r w:rsidRPr="00C342B0">
        <w:rPr>
          <w:rStyle w:val="Emphasis"/>
          <w:i w:val="0"/>
          <w:iCs w:val="0"/>
          <w:sz w:val="22"/>
          <w:szCs w:val="22"/>
          <w:lang w:val="en-GB"/>
        </w:rPr>
        <w:t>One lot only</w:t>
      </w:r>
    </w:p>
    <w:p w:rsidR="00AE7E90" w:rsidRPr="00B33EE6" w:rsidRDefault="00AE7E90"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AE7E90" w:rsidRDefault="00AE7E90" w:rsidP="00971962">
      <w:pPr>
        <w:pStyle w:val="Blockquote"/>
        <w:jc w:val="both"/>
        <w:rPr>
          <w:sz w:val="22"/>
          <w:szCs w:val="22"/>
          <w:lang w:val="en-GB"/>
        </w:rPr>
      </w:pPr>
      <w:r w:rsidRPr="00C342B0">
        <w:rPr>
          <w:sz w:val="22"/>
          <w:szCs w:val="22"/>
          <w:lang w:val="en-GB"/>
        </w:rPr>
        <w:t xml:space="preserve">EUR 3.500 </w:t>
      </w:r>
    </w:p>
    <w:p w:rsidR="00AE7E90" w:rsidRPr="00B33EE6" w:rsidRDefault="00AE7E90">
      <w:pPr>
        <w:pStyle w:val="Blockquote"/>
        <w:jc w:val="both"/>
        <w:rPr>
          <w:sz w:val="22"/>
          <w:szCs w:val="22"/>
          <w:lang w:val="en-GB"/>
        </w:rPr>
      </w:pPr>
      <w:r>
        <w:rPr>
          <w:noProof/>
          <w:lang w:val="mk-MK" w:eastAsia="mk-MK"/>
        </w:rPr>
        <w:pict>
          <v:line id="_x0000_s1027" style="position:absolute;left:0;text-align:left;z-index:251659264" from="-1.05pt,17.55pt" to="466.95pt,17.6pt" o:allowincell="f" strokecolor="#d4d4d4" strokeweight="1.75pt">
            <v:shadow on="t" origin=",32385f" offset="0,-1pt"/>
          </v:line>
        </w:pict>
      </w:r>
    </w:p>
    <w:p w:rsidR="00AE7E90" w:rsidRDefault="00AE7E90" w:rsidP="00D517A4">
      <w:pPr>
        <w:jc w:val="center"/>
        <w:rPr>
          <w:rStyle w:val="Strong"/>
          <w:sz w:val="28"/>
          <w:szCs w:val="28"/>
          <w:lang w:val="en-GB"/>
        </w:rPr>
      </w:pPr>
    </w:p>
    <w:p w:rsidR="00AE7E90" w:rsidRPr="00B33EE6" w:rsidRDefault="00AE7E90" w:rsidP="00D517A4">
      <w:pPr>
        <w:jc w:val="center"/>
        <w:rPr>
          <w:sz w:val="28"/>
          <w:szCs w:val="28"/>
          <w:lang w:val="en-GB"/>
        </w:rPr>
      </w:pPr>
      <w:r w:rsidRPr="00B33EE6">
        <w:rPr>
          <w:rStyle w:val="Strong"/>
          <w:sz w:val="28"/>
          <w:szCs w:val="28"/>
          <w:lang w:val="en-GB"/>
        </w:rPr>
        <w:t>CONDITIONS OF PARTICIPATION</w:t>
      </w:r>
    </w:p>
    <w:p w:rsidR="00AE7E90" w:rsidRDefault="00AE7E90" w:rsidP="006E1BD0">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AE7E90" w:rsidRPr="00C348D5"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p>
    <w:p w:rsidR="00AE7E90" w:rsidRPr="00EA5641" w:rsidRDefault="00AE7E90" w:rsidP="00B9793F">
      <w:pPr>
        <w:pStyle w:val="paragraph"/>
        <w:spacing w:before="0" w:beforeAutospacing="0" w:after="0" w:afterAutospacing="0"/>
        <w:ind w:left="426"/>
        <w:jc w:val="both"/>
        <w:textAlignment w:val="baseline"/>
        <w:rPr>
          <w:sz w:val="22"/>
          <w:szCs w:val="22"/>
          <w:lang w:val="en-GB"/>
        </w:rPr>
      </w:pPr>
      <w:r w:rsidRPr="00EA5641">
        <w:rPr>
          <w:rStyle w:val="normaltextrun"/>
          <w:sz w:val="22"/>
          <w:szCs w:val="22"/>
          <w:shd w:val="clear" w:color="auto" w:fill="FFFF00"/>
          <w:lang w:val="en-GB"/>
        </w:rPr>
        <w:t>The legal basis of this procedure is </w:t>
      </w:r>
      <w:r w:rsidRPr="00EA5641">
        <w:rPr>
          <w:rStyle w:val="normaltextrun"/>
          <w:sz w:val="22"/>
          <w:szCs w:val="22"/>
          <w:shd w:val="clear" w:color="auto" w:fill="C0C0C0"/>
          <w:lang w:val="en-GB"/>
        </w:rPr>
        <w:t xml:space="preserve">Regulation (EU) No 236/2014 of the European Parliament and of the Council of 11 March 2014 laying down common rules and procedures for the implementation of the Union's instruments for financing external action and </w:t>
      </w:r>
      <w:r w:rsidRPr="00B75F0C">
        <w:rPr>
          <w:sz w:val="22"/>
          <w:szCs w:val="22"/>
          <w:lang w:val="en-GB"/>
        </w:rPr>
        <w:t>IPA II</w:t>
      </w:r>
      <w:r w:rsidRPr="00EA5641">
        <w:rPr>
          <w:sz w:val="22"/>
          <w:szCs w:val="22"/>
          <w:lang w:val="en-GB"/>
        </w:rPr>
        <w:t xml:space="preserve">. </w:t>
      </w:r>
    </w:p>
    <w:p w:rsidR="00AE7E90" w:rsidRPr="00EA5641" w:rsidRDefault="00AE7E90" w:rsidP="00B9793F">
      <w:pPr>
        <w:pStyle w:val="paragraph"/>
        <w:spacing w:before="0" w:beforeAutospacing="0" w:after="0" w:afterAutospacing="0"/>
        <w:ind w:left="426"/>
        <w:jc w:val="both"/>
        <w:textAlignment w:val="baseline"/>
        <w:rPr>
          <w:rStyle w:val="normaltextrun"/>
          <w:rFonts w:ascii="Segoe UI" w:hAnsi="Segoe UI" w:cs="Segoe UI"/>
          <w:sz w:val="22"/>
          <w:szCs w:val="22"/>
          <w:lang w:val="en-GB"/>
        </w:rPr>
      </w:pPr>
    </w:p>
    <w:p w:rsidR="00AE7E90" w:rsidRPr="00EA5641" w:rsidRDefault="00AE7E90"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A5641">
        <w:rPr>
          <w:rStyle w:val="normaltextrun"/>
          <w:sz w:val="22"/>
          <w:szCs w:val="22"/>
          <w:shd w:val="clear" w:color="auto" w:fill="C0C0C0"/>
          <w:lang w:val="en-GB"/>
        </w:rPr>
        <w:t>Participation is open to all </w:t>
      </w:r>
      <w:r w:rsidRPr="00EA5641">
        <w:rPr>
          <w:rStyle w:val="normaltextrun"/>
          <w:sz w:val="22"/>
          <w:szCs w:val="22"/>
          <w:shd w:val="clear" w:color="auto" w:fill="C0C0C0"/>
          <w:lang w:val="en-IE"/>
        </w:rPr>
        <w:t>natural persons who are nationals of and </w:t>
      </w:r>
      <w:r w:rsidRPr="00EA5641">
        <w:rPr>
          <w:rStyle w:val="normaltextrun"/>
          <w:sz w:val="22"/>
          <w:szCs w:val="22"/>
          <w:shd w:val="clear" w:color="auto" w:fill="C0C0C0"/>
          <w:lang w:val="en-GB"/>
        </w:rPr>
        <w:t>legal persons (participating either individually or in a grouping – consortium – of candidates/tenderers) which are effectively established in a  Member State of the European Union or in a eligible country or territory as defined under </w:t>
      </w:r>
      <w:r w:rsidRPr="00EA5641">
        <w:rPr>
          <w:rStyle w:val="normaltextrun"/>
          <w:sz w:val="22"/>
          <w:szCs w:val="22"/>
          <w:shd w:val="clear" w:color="auto" w:fill="C0C0C0"/>
          <w:lang w:val="en-IE"/>
        </w:rPr>
        <w:t>Article 8 of Regulation </w:t>
      </w:r>
      <w:r w:rsidRPr="00EA5641">
        <w:rPr>
          <w:rStyle w:val="normaltextrun"/>
          <w:sz w:val="22"/>
          <w:szCs w:val="22"/>
          <w:shd w:val="clear" w:color="auto" w:fill="C0C0C0"/>
          <w:lang w:val="en-GB"/>
        </w:rPr>
        <w:t>(EU) No 236/2014 </w:t>
      </w:r>
      <w:r w:rsidRPr="00EA5641">
        <w:rPr>
          <w:rStyle w:val="normaltextrun"/>
          <w:sz w:val="22"/>
          <w:szCs w:val="22"/>
          <w:shd w:val="clear" w:color="auto" w:fill="C0C0C0"/>
          <w:lang w:val="en-IE"/>
        </w:rPr>
        <w:t>establishing common rules and procedures for the implementation of the Union's instruments for external action (CIR) </w:t>
      </w:r>
      <w:r w:rsidRPr="00EA5641">
        <w:rPr>
          <w:rStyle w:val="normaltextrun"/>
          <w:sz w:val="22"/>
          <w:szCs w:val="22"/>
          <w:shd w:val="clear" w:color="auto" w:fill="C0C0C0"/>
          <w:lang w:val="en-GB"/>
        </w:rPr>
        <w:t>for the applicable instrument under which the contract is financed</w:t>
      </w:r>
      <w:r w:rsidRPr="00EA5641">
        <w:rPr>
          <w:rStyle w:val="normaltextrun"/>
          <w:rFonts w:ascii="Arial" w:hAnsi="Arial" w:cs="Arial"/>
          <w:sz w:val="22"/>
          <w:szCs w:val="22"/>
          <w:shd w:val="clear" w:color="auto" w:fill="C0C0C0"/>
          <w:lang w:val="en-IE"/>
        </w:rPr>
        <w:t>. </w:t>
      </w:r>
    </w:p>
    <w:p w:rsidR="00AE7E90" w:rsidRPr="00EA5641" w:rsidRDefault="00AE7E90"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p>
    <w:p w:rsidR="00AE7E90" w:rsidRPr="00EA5641" w:rsidRDefault="00AE7E90"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A5641">
        <w:rPr>
          <w:rStyle w:val="normaltextrun"/>
          <w:sz w:val="22"/>
          <w:szCs w:val="22"/>
          <w:shd w:val="clear" w:color="auto" w:fill="C0C0C0"/>
          <w:lang w:val="en-GB"/>
        </w:rPr>
        <w:t>Participation is also open to international organisations.</w:t>
      </w:r>
    </w:p>
    <w:p w:rsidR="00AE7E90" w:rsidRPr="00EA5641" w:rsidRDefault="00AE7E90" w:rsidP="00B9793F">
      <w:pPr>
        <w:ind w:left="426"/>
        <w:jc w:val="both"/>
        <w:rPr>
          <w:sz w:val="22"/>
          <w:szCs w:val="22"/>
          <w:lang w:val="en-GB"/>
        </w:rPr>
      </w:pPr>
      <w:r w:rsidRPr="00EA5641">
        <w:rPr>
          <w:sz w:val="22"/>
          <w:szCs w:val="22"/>
          <w:lang w:val="en-GB"/>
        </w:rPr>
        <w:t>Participation financed by the European Instrument for Democracy and Human Rights (EIDHR) and the Instrument contributing to Stability and Peace (IcSP)</w:t>
      </w:r>
      <w:r w:rsidRPr="00EA5641">
        <w:rPr>
          <w:rStyle w:val="FootnoteReference"/>
          <w:sz w:val="22"/>
          <w:szCs w:val="22"/>
          <w:lang w:val="en-GB"/>
        </w:rPr>
        <w:footnoteReference w:id="1"/>
      </w:r>
      <w:r w:rsidRPr="00EA5641">
        <w:rPr>
          <w:sz w:val="22"/>
          <w:szCs w:val="22"/>
          <w:lang w:val="en-GB"/>
        </w:rPr>
        <w:t xml:space="preserve"> is fully untied</w:t>
      </w:r>
      <w:r w:rsidRPr="00EA5641">
        <w:rPr>
          <w:rStyle w:val="FootnoteReference"/>
          <w:sz w:val="22"/>
          <w:szCs w:val="22"/>
        </w:rPr>
        <w:footnoteReference w:id="2"/>
      </w:r>
      <w:r w:rsidRPr="00EA5641">
        <w:rPr>
          <w:sz w:val="22"/>
          <w:szCs w:val="22"/>
          <w:lang w:val="en-GB"/>
        </w:rPr>
        <w:t>. ]</w:t>
      </w:r>
    </w:p>
    <w:p w:rsidR="00AE7E90" w:rsidRPr="00EA5641"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EA5641">
        <w:rPr>
          <w:rStyle w:val="normaltextrun"/>
          <w:sz w:val="22"/>
          <w:szCs w:val="22"/>
          <w:shd w:val="clear" w:color="auto" w:fill="C0C0C0"/>
          <w:lang w:val="en-IE"/>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r w:rsidRPr="00EA5641">
        <w:rPr>
          <w:rStyle w:val="eop"/>
          <w:sz w:val="22"/>
          <w:szCs w:val="22"/>
          <w:lang w:val="en-US"/>
        </w:rPr>
        <w:t> </w:t>
      </w:r>
    </w:p>
    <w:p w:rsidR="00AE7E90" w:rsidRPr="00EA5641"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EA5641">
        <w:rPr>
          <w:rStyle w:val="eop"/>
          <w:sz w:val="22"/>
          <w:szCs w:val="22"/>
          <w:lang w:val="en-US"/>
        </w:rPr>
        <w:t> </w:t>
      </w:r>
    </w:p>
    <w:p w:rsidR="00AE7E90" w:rsidRPr="00EA5641"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EA5641">
        <w:rPr>
          <w:rStyle w:val="normaltextrun"/>
          <w:sz w:val="22"/>
          <w:szCs w:val="22"/>
          <w:shd w:val="clear" w:color="auto" w:fill="C0C0C0"/>
          <w:lang w:val="en-IE"/>
        </w:rPr>
        <w:t>* Agreement on the withdrawal of the United Kingdom of Great Britain and Northern Ireland from the European Union and the European Atomic Energy Community.</w:t>
      </w:r>
      <w:r w:rsidRPr="00EA5641">
        <w:rPr>
          <w:rStyle w:val="eop"/>
          <w:sz w:val="22"/>
          <w:szCs w:val="22"/>
          <w:lang w:val="en-US"/>
        </w:rPr>
        <w:t> </w:t>
      </w:r>
    </w:p>
    <w:p w:rsidR="00AE7E90" w:rsidRPr="00C348D5"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EA5641">
        <w:rPr>
          <w:rStyle w:val="normaltextrun"/>
          <w:sz w:val="22"/>
          <w:szCs w:val="22"/>
          <w:shd w:val="clear" w:color="auto" w:fill="C0C0C0"/>
          <w:lang w:val="en-IE"/>
        </w:rPr>
        <w:t>** Regulation (EU) No 236/2014 of the European Parliament and of the Council of 11 March 2014 laying down common rules and procedures for the implementation of the Union's instruments for financing external action.</w:t>
      </w:r>
      <w:r w:rsidRPr="00F72244">
        <w:rPr>
          <w:rStyle w:val="eop"/>
          <w:sz w:val="22"/>
          <w:szCs w:val="22"/>
          <w:lang w:val="en-US"/>
        </w:rPr>
        <w:t> </w:t>
      </w:r>
    </w:p>
    <w:p w:rsidR="00AE7E90" w:rsidRPr="00EA5641" w:rsidRDefault="00AE7E90"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EA5641">
        <w:rPr>
          <w:rStyle w:val="normaltextrun"/>
          <w:sz w:val="22"/>
          <w:szCs w:val="22"/>
          <w:shd w:val="clear" w:color="auto" w:fill="C0C0C0"/>
          <w:lang w:val="en-IE"/>
        </w:rPr>
        <w:t>*** Annex IV to the ACP-EU Partnership Agreement, as revised by Decision 1/2014 of the ACP-EU Council of Ministers (OJ L196/40, 3.7.2014).</w:t>
      </w:r>
      <w:r w:rsidRPr="00EA5641">
        <w:rPr>
          <w:rStyle w:val="eop"/>
          <w:sz w:val="22"/>
          <w:szCs w:val="22"/>
          <w:lang w:val="en-US"/>
        </w:rPr>
        <w:t> </w:t>
      </w:r>
    </w:p>
    <w:p w:rsidR="00AE7E90" w:rsidRPr="00F72244" w:rsidRDefault="00AE7E90" w:rsidP="00B9793F">
      <w:pPr>
        <w:pStyle w:val="paragraph"/>
        <w:spacing w:before="0" w:beforeAutospacing="0" w:after="0" w:afterAutospacing="0"/>
        <w:ind w:left="426"/>
        <w:jc w:val="both"/>
        <w:textAlignment w:val="baseline"/>
        <w:rPr>
          <w:rStyle w:val="eop"/>
          <w:rFonts w:ascii="Calibri" w:hAnsi="Calibri" w:cs="Calibri"/>
          <w:sz w:val="22"/>
          <w:szCs w:val="22"/>
          <w:lang w:val="en-US"/>
        </w:rPr>
      </w:pPr>
      <w:r w:rsidRPr="00EA5641">
        <w:rPr>
          <w:rStyle w:val="normaltextrun"/>
          <w:sz w:val="22"/>
          <w:szCs w:val="22"/>
          <w:shd w:val="clear" w:color="auto" w:fill="C0C0C0"/>
          <w:lang w:val="en-IE"/>
        </w:rPr>
        <w:t>**** Including the Overseas Countries and Territories having special relations with the United Kingdom, as laid down in Part Four and Annex II of the TFEU.</w:t>
      </w:r>
      <w:r w:rsidRPr="00EA5641">
        <w:rPr>
          <w:rStyle w:val="normaltextrun"/>
          <w:rFonts w:ascii="Calibri" w:hAnsi="Calibri" w:cs="Calibri"/>
          <w:b/>
          <w:bCs/>
          <w:sz w:val="22"/>
          <w:szCs w:val="22"/>
          <w:lang w:val="en-GB"/>
        </w:rPr>
        <w:t>]</w:t>
      </w:r>
      <w:r w:rsidRPr="00CC4086">
        <w:rPr>
          <w:rStyle w:val="eop"/>
          <w:rFonts w:ascii="Calibri" w:hAnsi="Calibri" w:cs="Calibri"/>
          <w:b/>
          <w:bCs/>
          <w:sz w:val="22"/>
          <w:szCs w:val="22"/>
          <w:lang w:val="en-US"/>
        </w:rPr>
        <w:t> </w:t>
      </w:r>
    </w:p>
    <w:p w:rsidR="00AE7E90" w:rsidRPr="00B33EE6" w:rsidRDefault="00AE7E90"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 xml:space="preserve">11. </w:t>
      </w:r>
      <w:r w:rsidRPr="00B33EE6">
        <w:rPr>
          <w:rStyle w:val="Strong"/>
          <w:sz w:val="22"/>
          <w:szCs w:val="22"/>
          <w:lang w:val="en-GB"/>
        </w:rPr>
        <w:tab/>
        <w:t>Number of tenders</w:t>
      </w:r>
    </w:p>
    <w:p w:rsidR="00AE7E90" w:rsidRPr="00B33EE6" w:rsidRDefault="00AE7E90">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AE7E90" w:rsidRDefault="00AE7E90">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AE7E90" w:rsidRPr="00B33EE6" w:rsidRDefault="00AE7E90">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AE7E90" w:rsidRPr="00B33EE6" w:rsidRDefault="00AE7E90"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AE7E90" w:rsidRPr="00B33EE6" w:rsidRDefault="00AE7E90">
      <w:pPr>
        <w:keepNext/>
        <w:jc w:val="center"/>
        <w:rPr>
          <w:sz w:val="28"/>
          <w:szCs w:val="28"/>
          <w:lang w:val="en-GB"/>
        </w:rPr>
      </w:pPr>
      <w:r>
        <w:rPr>
          <w:noProof/>
          <w:lang w:val="mk-MK" w:eastAsia="mk-MK"/>
        </w:rPr>
        <w:pict>
          <v:line id="_x0000_s1028"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AE7E90" w:rsidRPr="00B33EE6" w:rsidRDefault="00AE7E90"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AE7E90" w:rsidRPr="00B33EE6" w:rsidRDefault="00AE7E90" w:rsidP="00571687">
      <w:pPr>
        <w:pStyle w:val="Blockquote"/>
        <w:jc w:val="both"/>
        <w:rPr>
          <w:i/>
          <w:iCs/>
          <w:sz w:val="22"/>
          <w:szCs w:val="22"/>
          <w:lang w:val="en-GB"/>
        </w:rPr>
      </w:pPr>
      <w:r>
        <w:rPr>
          <w:rStyle w:val="Emphasis"/>
          <w:i w:val="0"/>
          <w:iCs w:val="0"/>
          <w:sz w:val="22"/>
          <w:szCs w:val="22"/>
          <w:lang w:val="en-GB"/>
        </w:rPr>
        <w:t>22.08.2022</w:t>
      </w:r>
    </w:p>
    <w:p w:rsidR="00AE7E90" w:rsidRPr="00B33EE6" w:rsidRDefault="00AE7E90"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AE7E90" w:rsidRPr="00B33EE6" w:rsidRDefault="00AE7E90" w:rsidP="00571687">
      <w:pPr>
        <w:pStyle w:val="Blockquote"/>
        <w:jc w:val="both"/>
        <w:rPr>
          <w:i/>
          <w:iCs/>
          <w:sz w:val="22"/>
          <w:szCs w:val="22"/>
          <w:lang w:val="en-GB"/>
        </w:rPr>
      </w:pPr>
      <w:r>
        <w:rPr>
          <w:rStyle w:val="Emphasis"/>
          <w:i w:val="0"/>
          <w:iCs w:val="0"/>
          <w:sz w:val="22"/>
          <w:szCs w:val="22"/>
          <w:lang w:val="en-GB"/>
        </w:rPr>
        <w:t xml:space="preserve">The implementation period will be to the end of the Project HOLY WATER ( 03.10.2022) </w:t>
      </w:r>
    </w:p>
    <w:p w:rsidR="00AE7E90" w:rsidRPr="00B33EE6" w:rsidRDefault="00AE7E90">
      <w:pPr>
        <w:rPr>
          <w:sz w:val="22"/>
          <w:szCs w:val="22"/>
          <w:lang w:val="en-GB"/>
        </w:rPr>
      </w:pPr>
      <w:r>
        <w:rPr>
          <w:noProof/>
          <w:lang w:val="mk-MK" w:eastAsia="mk-MK"/>
        </w:rPr>
        <w:pict>
          <v:line id="_x0000_s1029" style="position:absolute;z-index:251661312" from="0,12pt" to="468pt,12.05pt" o:allowincell="f" strokecolor="#d4d4d4" strokeweight="1.75pt">
            <v:shadow on="t" origin=",32385f" offset="0,-1pt"/>
          </v:line>
        </w:pict>
      </w:r>
    </w:p>
    <w:p w:rsidR="00AE7E90" w:rsidRPr="00B33EE6" w:rsidRDefault="00AE7E90">
      <w:pPr>
        <w:jc w:val="center"/>
        <w:rPr>
          <w:sz w:val="28"/>
          <w:szCs w:val="28"/>
          <w:lang w:val="en-GB"/>
        </w:rPr>
      </w:pPr>
      <w:r w:rsidRPr="00B33EE6">
        <w:rPr>
          <w:rStyle w:val="Strong"/>
          <w:sz w:val="28"/>
          <w:szCs w:val="28"/>
          <w:lang w:val="en-GB"/>
        </w:rPr>
        <w:t>SELECTION AND AWARD CRITERIA</w:t>
      </w:r>
    </w:p>
    <w:p w:rsidR="00AE7E90" w:rsidRDefault="00AE7E90" w:rsidP="00584BF4">
      <w:pPr>
        <w:ind w:left="709" w:hanging="349"/>
        <w:outlineLvl w:val="0"/>
        <w:rPr>
          <w:rStyle w:val="Strong"/>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AE7E90" w:rsidRPr="00AE0634" w:rsidRDefault="00AE7E90" w:rsidP="00215403">
      <w:pPr>
        <w:widowControl/>
        <w:spacing w:before="240" w:after="0"/>
        <w:ind w:left="426"/>
        <w:jc w:val="both"/>
        <w:rPr>
          <w:sz w:val="22"/>
          <w:szCs w:val="22"/>
          <w:lang w:val="en-GB"/>
        </w:rPr>
      </w:pPr>
      <w:r w:rsidRPr="00AE0634">
        <w:rPr>
          <w:sz w:val="22"/>
          <w:szCs w:val="22"/>
          <w:lang w:val="en-GB"/>
        </w:rPr>
        <w:t>Capacity-providing entities</w:t>
      </w:r>
    </w:p>
    <w:p w:rsidR="00AE7E90" w:rsidRPr="00AE0634" w:rsidRDefault="00AE7E90"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bCs/>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AE7E90" w:rsidRPr="00AE0634" w:rsidRDefault="00AE7E90"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AE7E90" w:rsidRDefault="00AE7E90" w:rsidP="00215403">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rsidR="00AE7E90" w:rsidRDefault="00AE7E90">
      <w:pPr>
        <w:pStyle w:val="Blockquote"/>
        <w:jc w:val="both"/>
        <w:rPr>
          <w:sz w:val="22"/>
          <w:szCs w:val="22"/>
          <w:lang w:val="en-GB"/>
        </w:rPr>
      </w:pPr>
    </w:p>
    <w:p w:rsidR="00AE7E90" w:rsidRDefault="00AE7E90">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AE7E90" w:rsidRDefault="00AE7E90">
      <w:pPr>
        <w:pStyle w:val="Blockquote"/>
        <w:jc w:val="both"/>
        <w:rPr>
          <w:sz w:val="22"/>
          <w:szCs w:val="22"/>
          <w:lang w:val="en-GB"/>
        </w:rPr>
      </w:pPr>
      <w:r w:rsidRPr="004916FF">
        <w:rPr>
          <w:sz w:val="22"/>
          <w:szCs w:val="22"/>
          <w:lang w:val="en-GB"/>
        </w:rPr>
        <w:t xml:space="preserve">The </w:t>
      </w:r>
      <w:r>
        <w:rPr>
          <w:sz w:val="22"/>
          <w:szCs w:val="22"/>
          <w:lang w:val="en-GB"/>
        </w:rPr>
        <w:t>tenderer</w:t>
      </w:r>
      <w:r w:rsidRPr="006E1BD0">
        <w:rPr>
          <w:sz w:val="22"/>
          <w:szCs w:val="22"/>
          <w:lang w:val="en-IE"/>
        </w:rPr>
        <w:t xml:space="preserve"> </w:t>
      </w:r>
      <w:r w:rsidRPr="004916FF">
        <w:rPr>
          <w:sz w:val="22"/>
          <w:szCs w:val="22"/>
          <w:lang w:val="en-GB"/>
        </w:rPr>
        <w:t>shall not use previous experience which caused breach of contract and termination by a contracting authority as a reference for selection criteria.</w:t>
      </w:r>
    </w:p>
    <w:p w:rsidR="00AE7E90" w:rsidRPr="004916FF" w:rsidRDefault="00AE7E90" w:rsidP="004916FF">
      <w:pPr>
        <w:ind w:firstLine="414"/>
        <w:rPr>
          <w:sz w:val="22"/>
          <w:szCs w:val="22"/>
        </w:rPr>
      </w:pPr>
      <w:r w:rsidRPr="00EA5641">
        <w:rPr>
          <w:sz w:val="22"/>
          <w:szCs w:val="22"/>
        </w:rPr>
        <w:t>The selection criteria for each tenderer are as follows:</w:t>
      </w:r>
    </w:p>
    <w:p w:rsidR="00AE7E90" w:rsidRPr="00EA5641" w:rsidRDefault="00AE7E90" w:rsidP="00571687">
      <w:pPr>
        <w:pStyle w:val="Blockquote"/>
        <w:ind w:left="641" w:right="357" w:hanging="284"/>
        <w:jc w:val="both"/>
        <w:rPr>
          <w:sz w:val="22"/>
          <w:szCs w:val="22"/>
          <w:lang w:val="en-GB"/>
        </w:rPr>
      </w:pPr>
      <w:r w:rsidRPr="00B33EE6">
        <w:rPr>
          <w:b/>
          <w:bCs/>
          <w:sz w:val="22"/>
          <w:szCs w:val="22"/>
          <w:u w:val="single"/>
          <w:lang w:val="en-GB"/>
        </w:rPr>
        <w:t>1)</w:t>
      </w:r>
      <w:r w:rsidRPr="00B33EE6">
        <w:rPr>
          <w:b/>
          <w:bCs/>
          <w:sz w:val="22"/>
          <w:szCs w:val="22"/>
          <w:u w:val="single"/>
          <w:lang w:val="en-GB"/>
        </w:rPr>
        <w:tab/>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 xml:space="preserve">years for which </w:t>
      </w:r>
      <w:r w:rsidRPr="00EA5641">
        <w:rPr>
          <w:sz w:val="22"/>
          <w:szCs w:val="22"/>
          <w:lang w:val="en-GB"/>
        </w:rPr>
        <w:t>accounts have been closed.</w:t>
      </w:r>
    </w:p>
    <w:p w:rsidR="00AE7E90" w:rsidRDefault="00AE7E90" w:rsidP="00EA5641">
      <w:pPr>
        <w:pStyle w:val="Blockquote"/>
        <w:jc w:val="both"/>
        <w:rPr>
          <w:sz w:val="22"/>
          <w:szCs w:val="22"/>
          <w:lang w:val="en-GB"/>
        </w:rPr>
      </w:pPr>
      <w:r w:rsidRPr="00AC7C7C">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w:t>
      </w:r>
    </w:p>
    <w:p w:rsidR="00AE7E90" w:rsidRPr="00B33EE6" w:rsidRDefault="00AE7E90"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AE7E90" w:rsidRPr="00B33EE6" w:rsidRDefault="00AE7E90"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AE7E90" w:rsidRDefault="00AE7E90" w:rsidP="00EA5641">
      <w:pPr>
        <w:pStyle w:val="Blockquote"/>
        <w:ind w:right="357" w:firstLine="281"/>
        <w:jc w:val="both"/>
        <w:rPr>
          <w:sz w:val="22"/>
          <w:szCs w:val="22"/>
          <w:lang w:val="en-GB"/>
        </w:rPr>
      </w:pPr>
      <w:r>
        <w:rPr>
          <w:sz w:val="22"/>
          <w:szCs w:val="22"/>
          <w:lang w:val="en-GB"/>
        </w:rPr>
        <w:t xml:space="preserve">Has sufficient ongoing resources and expertise to be able to handle the proposed contract </w:t>
      </w:r>
    </w:p>
    <w:p w:rsidR="00AE7E90" w:rsidRDefault="00AE7E90" w:rsidP="00EA5641">
      <w:pPr>
        <w:pStyle w:val="Blockquote"/>
        <w:ind w:right="357" w:firstLine="281"/>
        <w:jc w:val="both"/>
        <w:rPr>
          <w:sz w:val="22"/>
          <w:szCs w:val="22"/>
          <w:lang w:val="en-GB"/>
        </w:rPr>
      </w:pPr>
      <w:r>
        <w:rPr>
          <w:sz w:val="22"/>
          <w:szCs w:val="22"/>
          <w:lang w:val="en-GB"/>
        </w:rPr>
        <w:t xml:space="preserve">At least one staff </w:t>
      </w:r>
      <w:r w:rsidRPr="00AC7C7C">
        <w:rPr>
          <w:sz w:val="22"/>
          <w:szCs w:val="22"/>
          <w:lang w:val="en-GB"/>
        </w:rPr>
        <w:t>(part time, full time, per contract for expert services) that currently work for the tenderer. (provides contract or other relevant documents or statement)</w:t>
      </w:r>
    </w:p>
    <w:p w:rsidR="00AE7E90" w:rsidRPr="00B33EE6" w:rsidRDefault="00AE7E90" w:rsidP="00B33EE6">
      <w:pPr>
        <w:pStyle w:val="Blockquote"/>
        <w:ind w:left="720" w:right="357" w:hanging="360"/>
        <w:jc w:val="both"/>
        <w:rPr>
          <w:sz w:val="22"/>
          <w:szCs w:val="22"/>
          <w:lang w:val="en-GB"/>
        </w:rPr>
      </w:pPr>
      <w:r w:rsidRPr="00B33EE6">
        <w:rPr>
          <w:b/>
          <w:bCs/>
          <w:sz w:val="22"/>
          <w:szCs w:val="22"/>
          <w:u w:val="single"/>
          <w:lang w:val="en-GB"/>
        </w:rPr>
        <w:t>3)</w:t>
      </w:r>
      <w:r w:rsidRPr="00B33EE6">
        <w:rPr>
          <w:b/>
          <w:bCs/>
          <w:sz w:val="22"/>
          <w:szCs w:val="22"/>
          <w:u w:val="single"/>
          <w:lang w:val="en-GB"/>
        </w:rPr>
        <w:tab/>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period which will be taken into account will be the </w:t>
      </w:r>
      <w:r w:rsidRPr="00EA5641">
        <w:rPr>
          <w:sz w:val="22"/>
          <w:szCs w:val="22"/>
          <w:lang w:val="en-GB"/>
        </w:rPr>
        <w:t>last three years preceding</w:t>
      </w:r>
      <w:r>
        <w:rPr>
          <w:sz w:val="22"/>
          <w:szCs w:val="22"/>
          <w:lang w:val="en-GB"/>
        </w:rPr>
        <w:t xml:space="preserve"> the</w:t>
      </w:r>
      <w:r w:rsidRPr="00B33EE6">
        <w:rPr>
          <w:sz w:val="22"/>
          <w:szCs w:val="22"/>
          <w:lang w:val="en-GB"/>
        </w:rPr>
        <w:t xml:space="preserve"> submission deadline.</w:t>
      </w:r>
    </w:p>
    <w:p w:rsidR="00AE7E90" w:rsidRPr="00617150" w:rsidRDefault="00AE7E90" w:rsidP="00EA5641">
      <w:pPr>
        <w:pStyle w:val="Blockquote"/>
        <w:tabs>
          <w:tab w:val="left" w:pos="709"/>
        </w:tabs>
        <w:jc w:val="both"/>
        <w:rPr>
          <w:sz w:val="22"/>
          <w:szCs w:val="22"/>
          <w:lang w:val="en-GB"/>
        </w:rPr>
      </w:pPr>
      <w:r w:rsidRPr="00AC7C7C">
        <w:rPr>
          <w:sz w:val="22"/>
          <w:szCs w:val="22"/>
          <w:lang w:val="en-GB"/>
        </w:rPr>
        <w:t>The tenderer has provided services under at least 1 contract with a budget of at least that of this contract in the fields of the contract which was implemented at any moment during the following period: last three years from the deadline of submission of the tender. (provides invoices or other relevant documents or statement with confirmation)</w:t>
      </w:r>
      <w:r>
        <w:rPr>
          <w:sz w:val="22"/>
          <w:szCs w:val="22"/>
          <w:lang w:val="en-GB"/>
        </w:rPr>
        <w:t>.</w:t>
      </w:r>
    </w:p>
    <w:p w:rsidR="00AE7E90" w:rsidRDefault="00AE7E90"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AE7E90" w:rsidRPr="00B33EE6" w:rsidRDefault="00AE7E90"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AE7E90" w:rsidRPr="00B33EE6" w:rsidRDefault="00AE7E90" w:rsidP="007121FB">
      <w:pPr>
        <w:pStyle w:val="Blockquote"/>
        <w:jc w:val="both"/>
        <w:rPr>
          <w:sz w:val="22"/>
          <w:szCs w:val="22"/>
          <w:lang w:val="en-GB"/>
        </w:rPr>
      </w:pP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AE7E90" w:rsidRPr="003F1149" w:rsidRDefault="00AE7E90" w:rsidP="006E1BD0">
      <w:pPr>
        <w:pStyle w:val="Blockquote"/>
        <w:ind w:right="1"/>
        <w:jc w:val="both"/>
        <w:rPr>
          <w:sz w:val="22"/>
          <w:szCs w:val="22"/>
          <w:lang w:val="en-GB"/>
        </w:rPr>
      </w:pPr>
      <w:r>
        <w:rPr>
          <w:sz w:val="22"/>
          <w:szCs w:val="22"/>
          <w:lang w:val="en-GB"/>
        </w:rPr>
        <w:t xml:space="preserve">Best </w:t>
      </w:r>
      <w:r w:rsidRPr="00B619CC">
        <w:rPr>
          <w:lang w:val="en-GB"/>
        </w:rPr>
        <w:t xml:space="preserve">price-quality </w:t>
      </w:r>
      <w:r>
        <w:rPr>
          <w:lang w:val="en-GB"/>
        </w:rPr>
        <w:t>ratio.</w:t>
      </w:r>
    </w:p>
    <w:p w:rsidR="00AE7E90" w:rsidRPr="00B33EE6" w:rsidRDefault="00AE7E90">
      <w:pPr>
        <w:pStyle w:val="Blockquote"/>
        <w:jc w:val="both"/>
        <w:rPr>
          <w:sz w:val="22"/>
          <w:szCs w:val="22"/>
          <w:lang w:val="en-GB"/>
        </w:rPr>
      </w:pPr>
      <w:r w:rsidRPr="00B33EE6">
        <w:rPr>
          <w:sz w:val="22"/>
          <w:szCs w:val="22"/>
          <w:lang w:val="en-GB"/>
        </w:rPr>
        <w:t>.</w:t>
      </w:r>
    </w:p>
    <w:p w:rsidR="00AE7E90" w:rsidRPr="00B33EE6" w:rsidRDefault="00AE7E90">
      <w:pPr>
        <w:rPr>
          <w:sz w:val="22"/>
          <w:szCs w:val="22"/>
          <w:lang w:val="en-GB"/>
        </w:rPr>
      </w:pPr>
      <w:r>
        <w:rPr>
          <w:noProof/>
          <w:lang w:val="mk-MK" w:eastAsia="mk-MK"/>
        </w:rPr>
        <w:pict>
          <v:line id="_x0000_s1030" style="position:absolute;z-index:251662336" from="0,12pt" to="468pt,12.05pt" o:allowincell="f" strokecolor="#d4d4d4" strokeweight="1.75pt">
            <v:shadow on="t" origin=",32385f" offset="0,-1pt"/>
          </v:line>
        </w:pict>
      </w:r>
    </w:p>
    <w:p w:rsidR="00AE7E90" w:rsidRPr="00B33EE6" w:rsidRDefault="00AE7E90">
      <w:pPr>
        <w:keepNext/>
        <w:jc w:val="center"/>
        <w:rPr>
          <w:sz w:val="28"/>
          <w:szCs w:val="28"/>
          <w:lang w:val="en-GB"/>
        </w:rPr>
      </w:pPr>
      <w:r w:rsidRPr="00B33EE6">
        <w:rPr>
          <w:rStyle w:val="Strong"/>
          <w:sz w:val="28"/>
          <w:szCs w:val="28"/>
          <w:lang w:val="en-GB"/>
        </w:rPr>
        <w:t>TENDERING</w:t>
      </w:r>
    </w:p>
    <w:p w:rsidR="00AE7E90" w:rsidRPr="00B33EE6" w:rsidRDefault="00AE7E90"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AE7E90" w:rsidRPr="00B33EE6" w:rsidRDefault="00AE7E90">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AE7E90" w:rsidRPr="00B33EE6" w:rsidRDefault="00AE7E90"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10"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AE7E90" w:rsidRPr="00B33EE6" w:rsidRDefault="00AE7E90"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AE7E90" w:rsidRPr="00B33EE6" w:rsidRDefault="00AE7E90" w:rsidP="004D5EDB">
      <w:pPr>
        <w:pStyle w:val="Blockquote"/>
        <w:jc w:val="both"/>
        <w:rPr>
          <w:sz w:val="22"/>
          <w:szCs w:val="22"/>
          <w:lang w:val="en-GB"/>
        </w:rPr>
      </w:pPr>
      <w:hyperlink r:id="rId11" w:history="1">
        <w:r w:rsidRPr="005B10FD">
          <w:rPr>
            <w:rStyle w:val="Hyperlink"/>
            <w:sz w:val="22"/>
            <w:szCs w:val="22"/>
            <w:lang w:val="en-GB"/>
          </w:rPr>
          <w:t>http://ec.europa.eu/europeaid/prag/annexes.do?chapterTitleCode=A</w:t>
        </w:r>
      </w:hyperlink>
      <w:r>
        <w:rPr>
          <w:sz w:val="22"/>
          <w:szCs w:val="22"/>
          <w:lang w:val="en-GB"/>
        </w:rPr>
        <w:t xml:space="preserve"> </w:t>
      </w:r>
    </w:p>
    <w:p w:rsidR="00AE7E90" w:rsidRPr="00B33EE6" w:rsidRDefault="00AE7E90">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AE7E90" w:rsidRPr="00B33EE6" w:rsidRDefault="00AE7E90"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AE7E90" w:rsidRPr="00B33EE6" w:rsidRDefault="00AE7E90"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AE7E90" w:rsidRPr="00B33EE6" w:rsidRDefault="00AE7E90">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AE7E90" w:rsidRPr="00B33EE6" w:rsidRDefault="00AE7E90"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AE7E90" w:rsidRPr="00B33EE6" w:rsidRDefault="00AE7E90"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AE7E90" w:rsidRPr="00B33EE6" w:rsidRDefault="00AE7E90"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AE7E90" w:rsidRPr="00B33EE6" w:rsidRDefault="00AE7E90"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AE7E90" w:rsidRPr="00B33EE6" w:rsidRDefault="00AE7E90"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AE7E90" w:rsidRPr="00B33EE6" w:rsidRDefault="00AE7E90">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AE7E90" w:rsidRPr="00F9055E" w:rsidRDefault="00AE7E90" w:rsidP="00E9047D">
      <w:pPr>
        <w:pStyle w:val="Blockquote"/>
        <w:jc w:val="both"/>
        <w:rPr>
          <w:b/>
          <w:bCs/>
          <w:sz w:val="22"/>
          <w:szCs w:val="22"/>
          <w:lang w:val="en-GB"/>
        </w:rPr>
      </w:pPr>
      <w:r>
        <w:rPr>
          <w:b/>
          <w:bCs/>
          <w:sz w:val="22"/>
          <w:szCs w:val="22"/>
          <w:lang w:val="en-GB"/>
        </w:rPr>
        <w:t>23</w:t>
      </w:r>
      <w:r w:rsidRPr="00F9055E">
        <w:rPr>
          <w:b/>
          <w:bCs/>
          <w:sz w:val="22"/>
          <w:szCs w:val="22"/>
          <w:lang w:val="en-GB"/>
        </w:rPr>
        <w:t>. Additional information</w:t>
      </w:r>
    </w:p>
    <w:p w:rsidR="00AE7E90" w:rsidRDefault="00AE7E90"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0B5EA3">
        <w:rPr>
          <w:lang w:val="en-GB"/>
        </w:rPr>
        <w:t>EUR</w:t>
      </w:r>
      <w:r>
        <w:rPr>
          <w:lang w:val="en-GB"/>
        </w:rPr>
        <w:t>. If applicable, where a candidate refers to amounts originally expressed in a different currency, the conversion to MKD</w:t>
      </w:r>
      <w:r w:rsidRPr="000B5EA3">
        <w:rPr>
          <w:lang w:val="en-GB"/>
        </w:rPr>
        <w:t>: (i) when legal or local constraints exceptionally impose using the national currency; (ii) when needed, for contracts within the imprest component of a programme estimate] s</w:t>
      </w:r>
      <w:r>
        <w:rPr>
          <w:lang w:val="en-GB"/>
        </w:rPr>
        <w:t xml:space="preserve">hall be made in accordance with the InforEuro exchange rate of </w:t>
      </w:r>
      <w:r w:rsidRPr="000B5EA3">
        <w:rPr>
          <w:lang w:val="en-GB"/>
        </w:rPr>
        <w:t>[&lt;</w:t>
      </w:r>
      <w:r w:rsidRPr="000B5EA3">
        <w:rPr>
          <w:b/>
          <w:bCs/>
          <w:lang w:val="en-GB"/>
        </w:rPr>
        <w:t xml:space="preserve">MONTH and YEAR&gt; </w:t>
      </w:r>
      <w:r w:rsidRPr="000B5EA3">
        <w:rPr>
          <w:lang w:val="en-GB"/>
        </w:rPr>
        <w:t>of the applicable InforEuro exchange rate, which can either correspond to the month and year of the publication of the present contract notice or the month and year corresponding to the deadline for submitting applications], which can be</w:t>
      </w:r>
      <w:r>
        <w:rPr>
          <w:lang w:val="en-GB"/>
        </w:rPr>
        <w:t xml:space="preserve"> found at the following address: </w:t>
      </w:r>
      <w:hyperlink r:id="rId12" w:history="1">
        <w:r w:rsidRPr="00AB6029">
          <w:rPr>
            <w:rStyle w:val="Hyperlink"/>
            <w:lang w:val="en-GB"/>
          </w:rPr>
          <w:t>http://ec.europa.eu/budget/graphs/inforeuro.html</w:t>
        </w:r>
      </w:hyperlink>
      <w:r>
        <w:rPr>
          <w:lang w:val="en-GB"/>
        </w:rPr>
        <w:t>.</w:t>
      </w:r>
    </w:p>
    <w:p w:rsidR="00AE7E90" w:rsidRPr="00F9055E" w:rsidRDefault="00AE7E90" w:rsidP="00235A71">
      <w:pPr>
        <w:pStyle w:val="Blockquote"/>
        <w:jc w:val="both"/>
        <w:rPr>
          <w:sz w:val="22"/>
          <w:szCs w:val="22"/>
          <w:lang w:val="en-GB"/>
        </w:rPr>
      </w:pPr>
    </w:p>
    <w:sectPr w:rsidR="00AE7E90" w:rsidRPr="00F9055E" w:rsidSect="00E147D3">
      <w:headerReference w:type="default" r:id="rId13"/>
      <w:footerReference w:type="default" r:id="rId14"/>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90" w:rsidRDefault="00AE7E90">
      <w:r>
        <w:separator/>
      </w:r>
    </w:p>
  </w:endnote>
  <w:endnote w:type="continuationSeparator" w:id="0">
    <w:p w:rsidR="00AE7E90" w:rsidRDefault="00AE7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90" w:rsidRPr="00B33EE6" w:rsidRDefault="00AE7E90" w:rsidP="00F9055E">
    <w:pPr>
      <w:pStyle w:val="Footer"/>
      <w:tabs>
        <w:tab w:val="clear" w:pos="4320"/>
        <w:tab w:val="clear" w:pos="8640"/>
        <w:tab w:val="right" w:pos="9214"/>
      </w:tabs>
      <w:spacing w:before="120" w:after="0"/>
      <w:rPr>
        <w:b/>
        <w:bCs/>
        <w:sz w:val="20"/>
        <w:szCs w:val="20"/>
        <w:lang w:val="en-GB"/>
      </w:rPr>
    </w:pPr>
    <w:r>
      <w:rPr>
        <w:b/>
        <w:bCs/>
        <w:sz w:val="20"/>
        <w:szCs w:val="20"/>
      </w:rPr>
      <w:t>Dece</w:t>
    </w:r>
    <w:bookmarkStart w:id="14" w:name="_GoBack"/>
    <w:bookmarkEnd w:id="14"/>
    <w:r>
      <w:rPr>
        <w:b/>
        <w:bCs/>
        <w:sz w:val="20"/>
        <w:szCs w:val="20"/>
      </w:rPr>
      <w:t>mber</w:t>
    </w:r>
    <w:r w:rsidRPr="003670BA">
      <w:rPr>
        <w:b/>
        <w:bCs/>
        <w:sz w:val="20"/>
        <w:szCs w:val="20"/>
      </w:rPr>
      <w:t xml:space="preserve"> 202</w:t>
    </w:r>
    <w:r>
      <w:rPr>
        <w:b/>
        <w:bCs/>
        <w:sz w:val="20"/>
        <w:szCs w:val="20"/>
      </w:rPr>
      <w:t>1</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8</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7671B6">
        <w:rPr>
          <w:rStyle w:val="PageNumber"/>
          <w:noProof/>
          <w:sz w:val="18"/>
          <w:szCs w:val="18"/>
          <w:lang w:val="en-GB"/>
        </w:rPr>
        <w:t>8</w:t>
      </w:r>
    </w:fldSimple>
  </w:p>
  <w:p w:rsidR="00AE7E90" w:rsidRDefault="00AE7E90"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AE7E90" w:rsidRDefault="00AE7E90" w:rsidP="007727F3">
    <w:pPr>
      <w:pStyle w:val="Footer"/>
      <w:spacing w:before="0" w:after="0"/>
      <w:rPr>
        <w:sz w:val="18"/>
        <w:szCs w:val="18"/>
        <w:lang w:val="en-GB"/>
      </w:rPr>
    </w:pPr>
  </w:p>
  <w:p w:rsidR="00AE7E90" w:rsidRPr="005A7AEA" w:rsidRDefault="00AE7E90" w:rsidP="007671B6">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4E2534">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90" w:rsidRDefault="00AE7E90">
      <w:r>
        <w:separator/>
      </w:r>
    </w:p>
  </w:footnote>
  <w:footnote w:type="continuationSeparator" w:id="0">
    <w:p w:rsidR="00AE7E90" w:rsidRDefault="00AE7E90">
      <w:r>
        <w:continuationSeparator/>
      </w:r>
    </w:p>
  </w:footnote>
  <w:footnote w:id="1">
    <w:p w:rsidR="00AE7E90" w:rsidRDefault="00AE7E90" w:rsidP="006E1BD0">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lang w:val="en-GB"/>
        </w:rPr>
        <w:t>OJ L 77, 15.3.2014, p. 1).</w:t>
      </w:r>
    </w:p>
  </w:footnote>
  <w:footnote w:id="2">
    <w:p w:rsidR="00AE7E90" w:rsidRDefault="00AE7E90" w:rsidP="006E1BD0">
      <w:pPr>
        <w:pStyle w:val="FootnoteText"/>
        <w:spacing w:before="0" w:after="0"/>
      </w:pPr>
      <w:r w:rsidRPr="00CC0B7A">
        <w:rPr>
          <w:rStyle w:val="FootnoteReference"/>
        </w:rPr>
        <w:footnoteRef/>
      </w:r>
      <w:r w:rsidRPr="006C1625">
        <w:rPr>
          <w:rStyle w:val="FootnoteReference"/>
          <w:lang w:val="en-GB"/>
        </w:rPr>
        <w:t xml:space="preserve"> </w:t>
      </w:r>
      <w:r w:rsidRPr="006C1625">
        <w:rPr>
          <w:rStyle w:val="FootnoteTextChar"/>
          <w:snapToGrid/>
          <w:lang w:val="en-GB"/>
        </w:rPr>
        <w:t>Article 11 CIR.</w:t>
      </w:r>
      <w:r w:rsidRPr="006C1625">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90" w:rsidRDefault="00AE7E90" w:rsidP="0063055F">
    <w:pPr>
      <w:pStyle w:val="Header"/>
      <w:ind w:right="-420"/>
      <w:rPr>
        <w:noProof/>
        <w:sz w:val="22"/>
        <w:szCs w:val="22"/>
      </w:rPr>
    </w:pPr>
    <w:r w:rsidRPr="006215A2">
      <w:rPr>
        <w:noProof/>
        <w:sz w:val="22"/>
        <w:szCs w:val="22"/>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255.75pt;height:64.5pt;visibility:visible">
          <v:imagedata r:id="rId1" o:title=""/>
        </v:shape>
      </w:pict>
    </w:r>
    <w:r w:rsidRPr="0065791B">
      <w:rPr>
        <w:noProof/>
        <w:sz w:val="22"/>
        <w:szCs w:val="22"/>
      </w:rPr>
      <w:tab/>
    </w:r>
    <w:r w:rsidRPr="005A7AEA">
      <w:rPr>
        <w:b/>
        <w:bCs/>
        <w:noProof/>
        <w:sz w:val="22"/>
        <w:szCs w:val="22"/>
      </w:rPr>
      <w:t>MUNICIPALITY OF RESEN</w:t>
    </w:r>
    <w:r w:rsidRPr="0065791B">
      <w:rPr>
        <w:noProof/>
        <w:sz w:val="22"/>
        <w:szCs w:val="22"/>
      </w:rPr>
      <w:t xml:space="preserve"> </w:t>
    </w:r>
  </w:p>
  <w:p w:rsidR="00AE7E90" w:rsidRDefault="00AE7E90" w:rsidP="0063055F">
    <w:pPr>
      <w:spacing w:before="0"/>
      <w:jc w:val="center"/>
      <w:rPr>
        <w:b/>
        <w:bCs/>
      </w:rPr>
    </w:pPr>
    <w:r w:rsidRPr="00B879CA">
      <w:rPr>
        <w:b/>
        <w:bCs/>
      </w:rPr>
      <w:t xml:space="preserve">Enhancement of cultural touristic product of the cross border area of Prespes through the promotion of the natural and cultural heritage </w:t>
    </w:r>
  </w:p>
  <w:p w:rsidR="00AE7E90" w:rsidRDefault="00AE7E90" w:rsidP="0063055F">
    <w:pPr>
      <w:spacing w:before="0"/>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C07E04"/>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B561F9D"/>
    <w:multiLevelType w:val="hybridMultilevel"/>
    <w:tmpl w:val="ADEEF98E"/>
    <w:lvl w:ilvl="0" w:tplc="473C203E">
      <w:start w:val="1"/>
      <w:numFmt w:val="decimal"/>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8">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23647D16"/>
    <w:multiLevelType w:val="hybridMultilevel"/>
    <w:tmpl w:val="8A64C39A"/>
    <w:lvl w:ilvl="0" w:tplc="8F900BDE">
      <w:start w:val="1"/>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3">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63545E1C"/>
    <w:multiLevelType w:val="hybridMultilevel"/>
    <w:tmpl w:val="059C8C28"/>
    <w:lvl w:ilvl="0" w:tplc="A4BADC7C">
      <w:start w:val="7"/>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cs="Wingdings" w:hint="default"/>
      </w:rPr>
    </w:lvl>
    <w:lvl w:ilvl="3" w:tplc="08090001">
      <w:start w:val="1"/>
      <w:numFmt w:val="bullet"/>
      <w:lvlText w:val=""/>
      <w:lvlJc w:val="left"/>
      <w:pPr>
        <w:tabs>
          <w:tab w:val="num" w:pos="2877"/>
        </w:tabs>
        <w:ind w:left="2877" w:hanging="360"/>
      </w:pPr>
      <w:rPr>
        <w:rFonts w:ascii="Symbol" w:hAnsi="Symbol" w:cs="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cs="Wingdings" w:hint="default"/>
      </w:rPr>
    </w:lvl>
    <w:lvl w:ilvl="6" w:tplc="08090001">
      <w:start w:val="1"/>
      <w:numFmt w:val="bullet"/>
      <w:lvlText w:val=""/>
      <w:lvlJc w:val="left"/>
      <w:pPr>
        <w:tabs>
          <w:tab w:val="num" w:pos="5037"/>
        </w:tabs>
        <w:ind w:left="5037" w:hanging="360"/>
      </w:pPr>
      <w:rPr>
        <w:rFonts w:ascii="Symbol" w:hAnsi="Symbol" w:cs="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cs="Wingdings" w:hint="default"/>
      </w:r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8"/>
  </w:num>
  <w:num w:numId="1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4"/>
  </w:num>
  <w:num w:numId="17">
    <w:abstractNumId w:val="16"/>
  </w:num>
  <w:num w:numId="18">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28"/>
  </w:num>
  <w:num w:numId="30">
    <w:abstractNumId w:val="28"/>
  </w:num>
  <w:num w:numId="31">
    <w:abstractNumId w:val="28"/>
  </w:num>
  <w:num w:numId="32">
    <w:abstractNumId w:val="28"/>
  </w:num>
  <w:num w:numId="33">
    <w:abstractNumId w:val="1"/>
    <w:lvlOverride w:ilvl="0">
      <w:lvl w:ilvl="0">
        <w:numFmt w:val="bullet"/>
        <w:lvlText w:val=""/>
        <w:legacy w:legacy="1" w:legacySpace="0" w:legacyIndent="360"/>
        <w:lvlJc w:val="left"/>
        <w:pPr>
          <w:ind w:left="720" w:hanging="360"/>
        </w:pPr>
        <w:rPr>
          <w:rFonts w:ascii="Symbol" w:hAnsi="Symbol" w:cs="Symbol" w:hint="default"/>
        </w:rPr>
      </w:lvl>
    </w:lvlOverride>
  </w:num>
  <w:num w:numId="34">
    <w:abstractNumId w:val="37"/>
  </w:num>
  <w:num w:numId="35">
    <w:abstractNumId w:val="43"/>
  </w:num>
  <w:num w:numId="36">
    <w:abstractNumId w:val="36"/>
  </w:num>
  <w:num w:numId="37">
    <w:abstractNumId w:val="34"/>
  </w:num>
  <w:num w:numId="38">
    <w:abstractNumId w:val="38"/>
  </w:num>
  <w:num w:numId="39">
    <w:abstractNumId w:val="41"/>
  </w:num>
  <w:num w:numId="40">
    <w:abstractNumId w:val="45"/>
  </w:num>
  <w:num w:numId="41">
    <w:abstractNumId w:val="47"/>
  </w:num>
  <w:num w:numId="42">
    <w:abstractNumId w:val="42"/>
  </w:num>
  <w:num w:numId="43">
    <w:abstractNumId w:val="44"/>
  </w:num>
  <w:num w:numId="44">
    <w:abstractNumId w:val="39"/>
  </w:num>
  <w:num w:numId="45">
    <w:abstractNumId w:val="35"/>
  </w:num>
  <w:num w:numId="46">
    <w:abstractNumId w:val="40"/>
  </w:num>
  <w:num w:numId="47">
    <w:abstractNumId w:val="46"/>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0001"/>
    <w:rsid w:val="00063FB5"/>
    <w:rsid w:val="00080900"/>
    <w:rsid w:val="00087A72"/>
    <w:rsid w:val="00095030"/>
    <w:rsid w:val="000A0D57"/>
    <w:rsid w:val="000A3758"/>
    <w:rsid w:val="000B5EA3"/>
    <w:rsid w:val="000B693E"/>
    <w:rsid w:val="000B7C91"/>
    <w:rsid w:val="000C1101"/>
    <w:rsid w:val="000C1522"/>
    <w:rsid w:val="000D1732"/>
    <w:rsid w:val="000D3847"/>
    <w:rsid w:val="000D3EBF"/>
    <w:rsid w:val="000E4709"/>
    <w:rsid w:val="000F0F6C"/>
    <w:rsid w:val="000F1340"/>
    <w:rsid w:val="000F1668"/>
    <w:rsid w:val="000F5DEF"/>
    <w:rsid w:val="0010162C"/>
    <w:rsid w:val="0010374C"/>
    <w:rsid w:val="00105302"/>
    <w:rsid w:val="0013314C"/>
    <w:rsid w:val="0014405E"/>
    <w:rsid w:val="00145CFA"/>
    <w:rsid w:val="00150687"/>
    <w:rsid w:val="001661F7"/>
    <w:rsid w:val="00171F2E"/>
    <w:rsid w:val="00180D47"/>
    <w:rsid w:val="001903F3"/>
    <w:rsid w:val="001951FE"/>
    <w:rsid w:val="001A1B98"/>
    <w:rsid w:val="001A59BB"/>
    <w:rsid w:val="001B2571"/>
    <w:rsid w:val="001C21A2"/>
    <w:rsid w:val="001C64F1"/>
    <w:rsid w:val="001D19A6"/>
    <w:rsid w:val="001D55F7"/>
    <w:rsid w:val="001E5084"/>
    <w:rsid w:val="001E50A2"/>
    <w:rsid w:val="001F0839"/>
    <w:rsid w:val="001F1546"/>
    <w:rsid w:val="001F780C"/>
    <w:rsid w:val="00201320"/>
    <w:rsid w:val="00212656"/>
    <w:rsid w:val="00213E14"/>
    <w:rsid w:val="00215403"/>
    <w:rsid w:val="00216179"/>
    <w:rsid w:val="00226829"/>
    <w:rsid w:val="00233B9D"/>
    <w:rsid w:val="00233DDA"/>
    <w:rsid w:val="00235A71"/>
    <w:rsid w:val="002413EA"/>
    <w:rsid w:val="00243849"/>
    <w:rsid w:val="00255CB2"/>
    <w:rsid w:val="002575AA"/>
    <w:rsid w:val="00266EB9"/>
    <w:rsid w:val="002753AD"/>
    <w:rsid w:val="002869A9"/>
    <w:rsid w:val="002B2145"/>
    <w:rsid w:val="002B370E"/>
    <w:rsid w:val="002D266E"/>
    <w:rsid w:val="002D4121"/>
    <w:rsid w:val="002E1B83"/>
    <w:rsid w:val="002E2635"/>
    <w:rsid w:val="002E50D2"/>
    <w:rsid w:val="002E7D16"/>
    <w:rsid w:val="002E7D33"/>
    <w:rsid w:val="002F4E69"/>
    <w:rsid w:val="002F6D2B"/>
    <w:rsid w:val="003045C3"/>
    <w:rsid w:val="00313F6B"/>
    <w:rsid w:val="00322D52"/>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861D9"/>
    <w:rsid w:val="0038633F"/>
    <w:rsid w:val="00386E96"/>
    <w:rsid w:val="0038795F"/>
    <w:rsid w:val="0038796E"/>
    <w:rsid w:val="0039147E"/>
    <w:rsid w:val="0039347D"/>
    <w:rsid w:val="003947E7"/>
    <w:rsid w:val="00397073"/>
    <w:rsid w:val="003A4357"/>
    <w:rsid w:val="003B1B35"/>
    <w:rsid w:val="003C0356"/>
    <w:rsid w:val="003C1515"/>
    <w:rsid w:val="003C1DCA"/>
    <w:rsid w:val="003D16FB"/>
    <w:rsid w:val="003D2CB4"/>
    <w:rsid w:val="003D6CAD"/>
    <w:rsid w:val="003E782D"/>
    <w:rsid w:val="003F1149"/>
    <w:rsid w:val="003F5734"/>
    <w:rsid w:val="003F7909"/>
    <w:rsid w:val="00400098"/>
    <w:rsid w:val="0040360C"/>
    <w:rsid w:val="004108A4"/>
    <w:rsid w:val="00416D18"/>
    <w:rsid w:val="00424124"/>
    <w:rsid w:val="0043533D"/>
    <w:rsid w:val="00452ED8"/>
    <w:rsid w:val="0045494F"/>
    <w:rsid w:val="004567DF"/>
    <w:rsid w:val="00472630"/>
    <w:rsid w:val="00473883"/>
    <w:rsid w:val="00476D80"/>
    <w:rsid w:val="00480B5C"/>
    <w:rsid w:val="00482E0D"/>
    <w:rsid w:val="004850B4"/>
    <w:rsid w:val="004901C2"/>
    <w:rsid w:val="004916FF"/>
    <w:rsid w:val="004957E5"/>
    <w:rsid w:val="004C21CC"/>
    <w:rsid w:val="004C49B2"/>
    <w:rsid w:val="004D031B"/>
    <w:rsid w:val="004D412F"/>
    <w:rsid w:val="004D5EDB"/>
    <w:rsid w:val="004E083B"/>
    <w:rsid w:val="004E1482"/>
    <w:rsid w:val="004E2534"/>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212F"/>
    <w:rsid w:val="00512566"/>
    <w:rsid w:val="00513581"/>
    <w:rsid w:val="00513F0F"/>
    <w:rsid w:val="00517ADA"/>
    <w:rsid w:val="00521D0E"/>
    <w:rsid w:val="00525840"/>
    <w:rsid w:val="0054183B"/>
    <w:rsid w:val="005462B4"/>
    <w:rsid w:val="00551429"/>
    <w:rsid w:val="00553C32"/>
    <w:rsid w:val="0056183E"/>
    <w:rsid w:val="005639EC"/>
    <w:rsid w:val="00564558"/>
    <w:rsid w:val="00565A69"/>
    <w:rsid w:val="00571687"/>
    <w:rsid w:val="00572F15"/>
    <w:rsid w:val="00573F7A"/>
    <w:rsid w:val="00582326"/>
    <w:rsid w:val="00583440"/>
    <w:rsid w:val="00584BF4"/>
    <w:rsid w:val="00584D96"/>
    <w:rsid w:val="00585955"/>
    <w:rsid w:val="00590ADB"/>
    <w:rsid w:val="005A21DC"/>
    <w:rsid w:val="005A7AEA"/>
    <w:rsid w:val="005B10FD"/>
    <w:rsid w:val="005B35A2"/>
    <w:rsid w:val="005B4F80"/>
    <w:rsid w:val="005B5E3C"/>
    <w:rsid w:val="005C71EF"/>
    <w:rsid w:val="005D41DD"/>
    <w:rsid w:val="005F727E"/>
    <w:rsid w:val="005F776D"/>
    <w:rsid w:val="0060359F"/>
    <w:rsid w:val="0061336A"/>
    <w:rsid w:val="00617150"/>
    <w:rsid w:val="006215A2"/>
    <w:rsid w:val="0063055F"/>
    <w:rsid w:val="006309DE"/>
    <w:rsid w:val="00632BDC"/>
    <w:rsid w:val="0064390B"/>
    <w:rsid w:val="0065791B"/>
    <w:rsid w:val="00663C6D"/>
    <w:rsid w:val="006714ED"/>
    <w:rsid w:val="006738B9"/>
    <w:rsid w:val="00674F9C"/>
    <w:rsid w:val="006751D2"/>
    <w:rsid w:val="006770CA"/>
    <w:rsid w:val="00686C3A"/>
    <w:rsid w:val="00690E9D"/>
    <w:rsid w:val="00697F82"/>
    <w:rsid w:val="006A0598"/>
    <w:rsid w:val="006A66DA"/>
    <w:rsid w:val="006A7394"/>
    <w:rsid w:val="006A756E"/>
    <w:rsid w:val="006B2EDA"/>
    <w:rsid w:val="006B59B9"/>
    <w:rsid w:val="006C0EB6"/>
    <w:rsid w:val="006C0F37"/>
    <w:rsid w:val="006C1625"/>
    <w:rsid w:val="006D330F"/>
    <w:rsid w:val="006D6080"/>
    <w:rsid w:val="006E0C6A"/>
    <w:rsid w:val="006E1BD0"/>
    <w:rsid w:val="006E3377"/>
    <w:rsid w:val="006E625F"/>
    <w:rsid w:val="006E6CA8"/>
    <w:rsid w:val="006F2C5A"/>
    <w:rsid w:val="006F5FD0"/>
    <w:rsid w:val="006F7885"/>
    <w:rsid w:val="007046C8"/>
    <w:rsid w:val="00706E7C"/>
    <w:rsid w:val="00710A38"/>
    <w:rsid w:val="007121FB"/>
    <w:rsid w:val="007129D6"/>
    <w:rsid w:val="00712CB3"/>
    <w:rsid w:val="00715755"/>
    <w:rsid w:val="0072202E"/>
    <w:rsid w:val="00731A9A"/>
    <w:rsid w:val="00743351"/>
    <w:rsid w:val="007471C5"/>
    <w:rsid w:val="00750FF8"/>
    <w:rsid w:val="00753FC2"/>
    <w:rsid w:val="00756C38"/>
    <w:rsid w:val="00761673"/>
    <w:rsid w:val="00761893"/>
    <w:rsid w:val="007653F4"/>
    <w:rsid w:val="007671B6"/>
    <w:rsid w:val="00770822"/>
    <w:rsid w:val="00771F97"/>
    <w:rsid w:val="007727F3"/>
    <w:rsid w:val="007874C8"/>
    <w:rsid w:val="00794A92"/>
    <w:rsid w:val="00796976"/>
    <w:rsid w:val="00796CC5"/>
    <w:rsid w:val="007A04AC"/>
    <w:rsid w:val="007A4037"/>
    <w:rsid w:val="007C352C"/>
    <w:rsid w:val="007C55C2"/>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45F81"/>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527"/>
    <w:rsid w:val="009066B6"/>
    <w:rsid w:val="00907556"/>
    <w:rsid w:val="00913817"/>
    <w:rsid w:val="00925F7F"/>
    <w:rsid w:val="009260B8"/>
    <w:rsid w:val="0092731B"/>
    <w:rsid w:val="0093077C"/>
    <w:rsid w:val="009317C0"/>
    <w:rsid w:val="00933735"/>
    <w:rsid w:val="009338E7"/>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B749E"/>
    <w:rsid w:val="009E4FF5"/>
    <w:rsid w:val="009E5BC1"/>
    <w:rsid w:val="009F0852"/>
    <w:rsid w:val="009F128B"/>
    <w:rsid w:val="009F12A5"/>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33A6"/>
    <w:rsid w:val="00A43E7A"/>
    <w:rsid w:val="00A46ED3"/>
    <w:rsid w:val="00A504E1"/>
    <w:rsid w:val="00A645AC"/>
    <w:rsid w:val="00A666EC"/>
    <w:rsid w:val="00A779FE"/>
    <w:rsid w:val="00A77B07"/>
    <w:rsid w:val="00A805EA"/>
    <w:rsid w:val="00A8218E"/>
    <w:rsid w:val="00A84E04"/>
    <w:rsid w:val="00A85E8A"/>
    <w:rsid w:val="00A94ED6"/>
    <w:rsid w:val="00A97B08"/>
    <w:rsid w:val="00AA5256"/>
    <w:rsid w:val="00AA7F22"/>
    <w:rsid w:val="00AB6029"/>
    <w:rsid w:val="00AB7F58"/>
    <w:rsid w:val="00AC0D0C"/>
    <w:rsid w:val="00AC4530"/>
    <w:rsid w:val="00AC7C7C"/>
    <w:rsid w:val="00AC7E0D"/>
    <w:rsid w:val="00AD1660"/>
    <w:rsid w:val="00AD1E4D"/>
    <w:rsid w:val="00AE0634"/>
    <w:rsid w:val="00AE1D8D"/>
    <w:rsid w:val="00AE4633"/>
    <w:rsid w:val="00AE6A5B"/>
    <w:rsid w:val="00AE7E90"/>
    <w:rsid w:val="00AF0B6B"/>
    <w:rsid w:val="00AF412E"/>
    <w:rsid w:val="00AF7BB3"/>
    <w:rsid w:val="00B00363"/>
    <w:rsid w:val="00B063F9"/>
    <w:rsid w:val="00B06D60"/>
    <w:rsid w:val="00B112A1"/>
    <w:rsid w:val="00B14398"/>
    <w:rsid w:val="00B200AF"/>
    <w:rsid w:val="00B27B8B"/>
    <w:rsid w:val="00B33EE6"/>
    <w:rsid w:val="00B45983"/>
    <w:rsid w:val="00B46840"/>
    <w:rsid w:val="00B503CB"/>
    <w:rsid w:val="00B50F8D"/>
    <w:rsid w:val="00B60EC5"/>
    <w:rsid w:val="00B619CC"/>
    <w:rsid w:val="00B644B9"/>
    <w:rsid w:val="00B66D6A"/>
    <w:rsid w:val="00B738A7"/>
    <w:rsid w:val="00B7586A"/>
    <w:rsid w:val="00B75F0C"/>
    <w:rsid w:val="00B766F9"/>
    <w:rsid w:val="00B805A5"/>
    <w:rsid w:val="00B83DA1"/>
    <w:rsid w:val="00B84AED"/>
    <w:rsid w:val="00B879CA"/>
    <w:rsid w:val="00B90EE0"/>
    <w:rsid w:val="00B92478"/>
    <w:rsid w:val="00B9793F"/>
    <w:rsid w:val="00BA0765"/>
    <w:rsid w:val="00BA44A3"/>
    <w:rsid w:val="00BA7C3E"/>
    <w:rsid w:val="00BB2689"/>
    <w:rsid w:val="00BB4111"/>
    <w:rsid w:val="00BC353E"/>
    <w:rsid w:val="00BD63A4"/>
    <w:rsid w:val="00BD65BA"/>
    <w:rsid w:val="00BD69EF"/>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42B0"/>
    <w:rsid w:val="00C348D5"/>
    <w:rsid w:val="00C3644F"/>
    <w:rsid w:val="00C36666"/>
    <w:rsid w:val="00C43AAC"/>
    <w:rsid w:val="00C45432"/>
    <w:rsid w:val="00C460D8"/>
    <w:rsid w:val="00C50910"/>
    <w:rsid w:val="00C61B8C"/>
    <w:rsid w:val="00C65814"/>
    <w:rsid w:val="00C712DE"/>
    <w:rsid w:val="00C836E5"/>
    <w:rsid w:val="00C83C65"/>
    <w:rsid w:val="00C840D0"/>
    <w:rsid w:val="00C867B9"/>
    <w:rsid w:val="00CA3B1B"/>
    <w:rsid w:val="00CB23E3"/>
    <w:rsid w:val="00CB3E5C"/>
    <w:rsid w:val="00CB759D"/>
    <w:rsid w:val="00CB7AAE"/>
    <w:rsid w:val="00CC0A41"/>
    <w:rsid w:val="00CC0B7A"/>
    <w:rsid w:val="00CC3BA0"/>
    <w:rsid w:val="00CC4086"/>
    <w:rsid w:val="00CC48C9"/>
    <w:rsid w:val="00CC4B2C"/>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0BA2"/>
    <w:rsid w:val="00D434A7"/>
    <w:rsid w:val="00D46724"/>
    <w:rsid w:val="00D517A4"/>
    <w:rsid w:val="00D51C7E"/>
    <w:rsid w:val="00D549F4"/>
    <w:rsid w:val="00D64101"/>
    <w:rsid w:val="00D8773C"/>
    <w:rsid w:val="00D93082"/>
    <w:rsid w:val="00D97139"/>
    <w:rsid w:val="00DA0ABA"/>
    <w:rsid w:val="00DA28BE"/>
    <w:rsid w:val="00DC0253"/>
    <w:rsid w:val="00DC4F70"/>
    <w:rsid w:val="00DC753D"/>
    <w:rsid w:val="00DD0CD4"/>
    <w:rsid w:val="00DF04F0"/>
    <w:rsid w:val="00E147D3"/>
    <w:rsid w:val="00E1782A"/>
    <w:rsid w:val="00E17CCF"/>
    <w:rsid w:val="00E21BC3"/>
    <w:rsid w:val="00E23A94"/>
    <w:rsid w:val="00E30BB5"/>
    <w:rsid w:val="00E31447"/>
    <w:rsid w:val="00E422A2"/>
    <w:rsid w:val="00E44018"/>
    <w:rsid w:val="00E5220B"/>
    <w:rsid w:val="00E6172B"/>
    <w:rsid w:val="00E66A55"/>
    <w:rsid w:val="00E67DA7"/>
    <w:rsid w:val="00E713DA"/>
    <w:rsid w:val="00E813B7"/>
    <w:rsid w:val="00E82874"/>
    <w:rsid w:val="00E845AC"/>
    <w:rsid w:val="00E867FC"/>
    <w:rsid w:val="00E9047D"/>
    <w:rsid w:val="00EA0ACE"/>
    <w:rsid w:val="00EA399C"/>
    <w:rsid w:val="00EA5641"/>
    <w:rsid w:val="00EB4C19"/>
    <w:rsid w:val="00EC1215"/>
    <w:rsid w:val="00EC7EB7"/>
    <w:rsid w:val="00ED5FA0"/>
    <w:rsid w:val="00EE0A07"/>
    <w:rsid w:val="00EE243E"/>
    <w:rsid w:val="00EE5D14"/>
    <w:rsid w:val="00EE6E92"/>
    <w:rsid w:val="00EF03C9"/>
    <w:rsid w:val="00EF0A8C"/>
    <w:rsid w:val="00EF6A28"/>
    <w:rsid w:val="00EF6FBF"/>
    <w:rsid w:val="00F014D9"/>
    <w:rsid w:val="00F0288C"/>
    <w:rsid w:val="00F05BF1"/>
    <w:rsid w:val="00F07EE2"/>
    <w:rsid w:val="00F1778E"/>
    <w:rsid w:val="00F17A90"/>
    <w:rsid w:val="00F233FF"/>
    <w:rsid w:val="00F25189"/>
    <w:rsid w:val="00F27C45"/>
    <w:rsid w:val="00F33539"/>
    <w:rsid w:val="00F33C45"/>
    <w:rsid w:val="00F46873"/>
    <w:rsid w:val="00F4786D"/>
    <w:rsid w:val="00F504CC"/>
    <w:rsid w:val="00F50E8B"/>
    <w:rsid w:val="00F60220"/>
    <w:rsid w:val="00F72244"/>
    <w:rsid w:val="00F77C8A"/>
    <w:rsid w:val="00F86AAA"/>
    <w:rsid w:val="00F9055E"/>
    <w:rsid w:val="00F91683"/>
    <w:rsid w:val="00FA17FC"/>
    <w:rsid w:val="00FA6F9F"/>
    <w:rsid w:val="00FB17AC"/>
    <w:rsid w:val="00FB2588"/>
    <w:rsid w:val="00FB41D6"/>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B2"/>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paragraph" w:styleId="Heading4">
    <w:name w:val="heading 4"/>
    <w:basedOn w:val="Normal"/>
    <w:next w:val="Normal"/>
    <w:link w:val="Heading4Char"/>
    <w:uiPriority w:val="99"/>
    <w:qFormat/>
    <w:rsid w:val="004916FF"/>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7909"/>
    <w:rPr>
      <w:rFonts w:ascii="Cambria" w:hAnsi="Cambria" w:cs="Cambria"/>
      <w:b/>
      <w:bCs/>
      <w:i/>
      <w:iCs/>
      <w:sz w:val="28"/>
      <w:szCs w:val="28"/>
      <w:lang w:val="en-US" w:eastAsia="en-US"/>
    </w:rPr>
  </w:style>
  <w:style w:type="character" w:customStyle="1" w:styleId="Heading4Char">
    <w:name w:val="Heading 4 Char"/>
    <w:basedOn w:val="DefaultParagraphFont"/>
    <w:link w:val="Heading4"/>
    <w:uiPriority w:val="99"/>
    <w:semiHidden/>
    <w:locked/>
    <w:rsid w:val="004916FF"/>
    <w:rPr>
      <w:rFonts w:ascii="Calibri" w:hAnsi="Calibri" w:cs="Calibri"/>
      <w:b/>
      <w:bCs/>
      <w:snapToGrid w:val="0"/>
      <w:sz w:val="28"/>
      <w:szCs w:val="28"/>
      <w:lang w:val="en-US" w:eastAsia="en-US"/>
    </w:rPr>
  </w:style>
  <w:style w:type="paragraph" w:customStyle="1" w:styleId="DefinitionTerm">
    <w:name w:val="Definition Term"/>
    <w:basedOn w:val="Normal"/>
    <w:next w:val="DefinitionList"/>
    <w:uiPriority w:val="99"/>
    <w:rsid w:val="00255CB2"/>
    <w:pPr>
      <w:spacing w:before="0" w:after="0"/>
    </w:pPr>
  </w:style>
  <w:style w:type="paragraph" w:customStyle="1" w:styleId="DefinitionList">
    <w:name w:val="Definition List"/>
    <w:basedOn w:val="Normal"/>
    <w:next w:val="DefinitionTerm"/>
    <w:uiPriority w:val="99"/>
    <w:rsid w:val="00255CB2"/>
    <w:pPr>
      <w:spacing w:before="0" w:after="0"/>
      <w:ind w:left="360"/>
    </w:pPr>
  </w:style>
  <w:style w:type="character" w:customStyle="1" w:styleId="Definition">
    <w:name w:val="Definition"/>
    <w:uiPriority w:val="99"/>
    <w:rsid w:val="00255CB2"/>
    <w:rPr>
      <w:i/>
      <w:iCs/>
    </w:rPr>
  </w:style>
  <w:style w:type="paragraph" w:customStyle="1" w:styleId="H1">
    <w:name w:val="H1"/>
    <w:basedOn w:val="Normal"/>
    <w:next w:val="Normal"/>
    <w:uiPriority w:val="99"/>
    <w:rsid w:val="00255CB2"/>
    <w:pPr>
      <w:keepNext/>
      <w:outlineLvl w:val="1"/>
    </w:pPr>
    <w:rPr>
      <w:b/>
      <w:bCs/>
      <w:kern w:val="36"/>
      <w:sz w:val="48"/>
      <w:szCs w:val="48"/>
    </w:rPr>
  </w:style>
  <w:style w:type="paragraph" w:customStyle="1" w:styleId="H2">
    <w:name w:val="H2"/>
    <w:basedOn w:val="Normal"/>
    <w:next w:val="Normal"/>
    <w:uiPriority w:val="99"/>
    <w:rsid w:val="00255CB2"/>
    <w:pPr>
      <w:keepNext/>
      <w:outlineLvl w:val="2"/>
    </w:pPr>
    <w:rPr>
      <w:b/>
      <w:bCs/>
      <w:sz w:val="36"/>
      <w:szCs w:val="36"/>
    </w:rPr>
  </w:style>
  <w:style w:type="paragraph" w:customStyle="1" w:styleId="H3">
    <w:name w:val="H3"/>
    <w:basedOn w:val="Normal"/>
    <w:next w:val="Normal"/>
    <w:uiPriority w:val="99"/>
    <w:rsid w:val="00255CB2"/>
    <w:pPr>
      <w:keepNext/>
      <w:outlineLvl w:val="3"/>
    </w:pPr>
    <w:rPr>
      <w:b/>
      <w:bCs/>
      <w:sz w:val="28"/>
      <w:szCs w:val="28"/>
    </w:rPr>
  </w:style>
  <w:style w:type="paragraph" w:customStyle="1" w:styleId="H4">
    <w:name w:val="H4"/>
    <w:basedOn w:val="Normal"/>
    <w:next w:val="Normal"/>
    <w:uiPriority w:val="99"/>
    <w:rsid w:val="00255CB2"/>
    <w:pPr>
      <w:keepNext/>
      <w:outlineLvl w:val="4"/>
    </w:pPr>
    <w:rPr>
      <w:b/>
      <w:bCs/>
    </w:rPr>
  </w:style>
  <w:style w:type="paragraph" w:customStyle="1" w:styleId="H5">
    <w:name w:val="H5"/>
    <w:basedOn w:val="Normal"/>
    <w:next w:val="Normal"/>
    <w:uiPriority w:val="99"/>
    <w:rsid w:val="00255CB2"/>
    <w:pPr>
      <w:keepNext/>
      <w:outlineLvl w:val="5"/>
    </w:pPr>
    <w:rPr>
      <w:b/>
      <w:bCs/>
      <w:sz w:val="20"/>
      <w:szCs w:val="20"/>
    </w:rPr>
  </w:style>
  <w:style w:type="paragraph" w:customStyle="1" w:styleId="H6">
    <w:name w:val="H6"/>
    <w:basedOn w:val="Normal"/>
    <w:next w:val="Normal"/>
    <w:uiPriority w:val="99"/>
    <w:rsid w:val="00255CB2"/>
    <w:pPr>
      <w:keepNext/>
      <w:outlineLvl w:val="6"/>
    </w:pPr>
    <w:rPr>
      <w:b/>
      <w:bCs/>
      <w:sz w:val="16"/>
      <w:szCs w:val="16"/>
    </w:rPr>
  </w:style>
  <w:style w:type="paragraph" w:customStyle="1" w:styleId="Address">
    <w:name w:val="Address"/>
    <w:basedOn w:val="Normal"/>
    <w:next w:val="Normal"/>
    <w:uiPriority w:val="99"/>
    <w:rsid w:val="00255CB2"/>
    <w:pPr>
      <w:spacing w:before="0" w:after="0"/>
    </w:pPr>
    <w:rPr>
      <w:i/>
      <w:iCs/>
    </w:rPr>
  </w:style>
  <w:style w:type="paragraph" w:customStyle="1" w:styleId="Blockquote">
    <w:name w:val="Blockquote"/>
    <w:basedOn w:val="Normal"/>
    <w:uiPriority w:val="99"/>
    <w:rsid w:val="00255CB2"/>
    <w:pPr>
      <w:ind w:left="360" w:right="360"/>
    </w:pPr>
  </w:style>
  <w:style w:type="character" w:customStyle="1" w:styleId="CITE">
    <w:name w:val="CITE"/>
    <w:uiPriority w:val="99"/>
    <w:rsid w:val="00255CB2"/>
    <w:rPr>
      <w:i/>
      <w:iCs/>
    </w:rPr>
  </w:style>
  <w:style w:type="character" w:customStyle="1" w:styleId="CODE">
    <w:name w:val="CODE"/>
    <w:uiPriority w:val="99"/>
    <w:rsid w:val="00255CB2"/>
    <w:rPr>
      <w:rFonts w:ascii="Courier New" w:hAnsi="Courier New" w:cs="Courier New"/>
      <w:sz w:val="20"/>
      <w:szCs w:val="20"/>
    </w:rPr>
  </w:style>
  <w:style w:type="character" w:styleId="Emphasis">
    <w:name w:val="Emphasis"/>
    <w:basedOn w:val="DefaultParagraphFont"/>
    <w:uiPriority w:val="99"/>
    <w:qFormat/>
    <w:rsid w:val="00255CB2"/>
    <w:rPr>
      <w:i/>
      <w:iCs/>
    </w:rPr>
  </w:style>
  <w:style w:type="character" w:styleId="Hyperlink">
    <w:name w:val="Hyperlink"/>
    <w:basedOn w:val="DefaultParagraphFont"/>
    <w:uiPriority w:val="99"/>
    <w:rsid w:val="00255CB2"/>
    <w:rPr>
      <w:color w:val="0000FF"/>
      <w:u w:val="single"/>
    </w:rPr>
  </w:style>
  <w:style w:type="character" w:styleId="FollowedHyperlink">
    <w:name w:val="FollowedHyperlink"/>
    <w:basedOn w:val="DefaultParagraphFont"/>
    <w:uiPriority w:val="99"/>
    <w:rsid w:val="00255CB2"/>
    <w:rPr>
      <w:color w:val="800080"/>
      <w:u w:val="single"/>
    </w:rPr>
  </w:style>
  <w:style w:type="character" w:customStyle="1" w:styleId="Keyboard">
    <w:name w:val="Keyboard"/>
    <w:uiPriority w:val="99"/>
    <w:rsid w:val="00255CB2"/>
    <w:rPr>
      <w:rFonts w:ascii="Courier New" w:hAnsi="Courier New" w:cs="Courier New"/>
      <w:b/>
      <w:bCs/>
      <w:sz w:val="20"/>
      <w:szCs w:val="20"/>
    </w:rPr>
  </w:style>
  <w:style w:type="paragraph" w:customStyle="1" w:styleId="Preformatted">
    <w:name w:val="Preformatted"/>
    <w:basedOn w:val="Normal"/>
    <w:uiPriority w:val="99"/>
    <w:rsid w:val="00255CB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55CB2"/>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7909"/>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255CB2"/>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7909"/>
    <w:rPr>
      <w:rFonts w:ascii="Arial" w:hAnsi="Arial" w:cs="Arial"/>
      <w:vanish/>
      <w:sz w:val="16"/>
      <w:szCs w:val="16"/>
      <w:lang w:val="en-US" w:eastAsia="en-US"/>
    </w:rPr>
  </w:style>
  <w:style w:type="character" w:customStyle="1" w:styleId="Sample">
    <w:name w:val="Sample"/>
    <w:uiPriority w:val="99"/>
    <w:rsid w:val="00255CB2"/>
    <w:rPr>
      <w:rFonts w:ascii="Courier New" w:hAnsi="Courier New" w:cs="Courier New"/>
    </w:rPr>
  </w:style>
  <w:style w:type="character" w:styleId="Strong">
    <w:name w:val="Strong"/>
    <w:basedOn w:val="DefaultParagraphFont"/>
    <w:uiPriority w:val="99"/>
    <w:qFormat/>
    <w:rsid w:val="00255CB2"/>
    <w:rPr>
      <w:b/>
      <w:bCs/>
    </w:rPr>
  </w:style>
  <w:style w:type="character" w:customStyle="1" w:styleId="Typewriter">
    <w:name w:val="Typewriter"/>
    <w:uiPriority w:val="99"/>
    <w:rsid w:val="00255CB2"/>
    <w:rPr>
      <w:rFonts w:ascii="Courier New" w:hAnsi="Courier New" w:cs="Courier New"/>
      <w:sz w:val="20"/>
      <w:szCs w:val="20"/>
    </w:rPr>
  </w:style>
  <w:style w:type="character" w:customStyle="1" w:styleId="Variable">
    <w:name w:val="Variable"/>
    <w:uiPriority w:val="99"/>
    <w:rsid w:val="00255CB2"/>
    <w:rPr>
      <w:i/>
      <w:iCs/>
    </w:rPr>
  </w:style>
  <w:style w:type="character" w:customStyle="1" w:styleId="HTMLMarkup">
    <w:name w:val="HTML Markup"/>
    <w:uiPriority w:val="99"/>
    <w:rsid w:val="00255CB2"/>
    <w:rPr>
      <w:vanish/>
      <w:color w:val="FF0000"/>
    </w:rPr>
  </w:style>
  <w:style w:type="character" w:customStyle="1" w:styleId="Comment">
    <w:name w:val="Comment"/>
    <w:uiPriority w:val="99"/>
    <w:rsid w:val="00255CB2"/>
    <w:rPr>
      <w:vanish/>
    </w:rPr>
  </w:style>
  <w:style w:type="paragraph" w:styleId="DocumentMap">
    <w:name w:val="Document Map"/>
    <w:basedOn w:val="Normal"/>
    <w:link w:val="DocumentMapChar"/>
    <w:uiPriority w:val="99"/>
    <w:semiHidden/>
    <w:rsid w:val="00255C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7909"/>
    <w:rPr>
      <w:sz w:val="2"/>
      <w:szCs w:val="2"/>
      <w:lang w:val="en-US" w:eastAsia="en-US"/>
    </w:rPr>
  </w:style>
  <w:style w:type="paragraph" w:styleId="Header">
    <w:name w:val="header"/>
    <w:basedOn w:val="Normal"/>
    <w:link w:val="HeaderChar"/>
    <w:uiPriority w:val="99"/>
    <w:rsid w:val="00255CB2"/>
    <w:pPr>
      <w:tabs>
        <w:tab w:val="center" w:pos="4320"/>
        <w:tab w:val="right" w:pos="8640"/>
      </w:tabs>
    </w:pPr>
  </w:style>
  <w:style w:type="character" w:customStyle="1" w:styleId="HeaderChar">
    <w:name w:val="Header Char"/>
    <w:basedOn w:val="DefaultParagraphFont"/>
    <w:link w:val="Header"/>
    <w:uiPriority w:val="99"/>
    <w:locked/>
    <w:rsid w:val="0063055F"/>
    <w:rPr>
      <w:sz w:val="24"/>
      <w:szCs w:val="24"/>
      <w:lang w:val="en-US" w:eastAsia="en-US"/>
    </w:rPr>
  </w:style>
  <w:style w:type="paragraph" w:styleId="Footer">
    <w:name w:val="footer"/>
    <w:basedOn w:val="Normal"/>
    <w:link w:val="FooterChar"/>
    <w:uiPriority w:val="99"/>
    <w:rsid w:val="00255CB2"/>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3F7909"/>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locked/>
    <w:rsid w:val="00B9793F"/>
    <w:rPr>
      <w:snapToGrid w:val="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4"/>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normaltextrun">
    <w:name w:val="normaltextrun"/>
    <w:uiPriority w:val="99"/>
    <w:rsid w:val="00B9793F"/>
  </w:style>
  <w:style w:type="character" w:customStyle="1" w:styleId="eop">
    <w:name w:val="eop"/>
    <w:uiPriority w:val="99"/>
    <w:rsid w:val="00B9793F"/>
  </w:style>
  <w:style w:type="paragraph" w:customStyle="1" w:styleId="paragraph">
    <w:name w:val="paragraph"/>
    <w:basedOn w:val="Normal"/>
    <w:uiPriority w:val="99"/>
    <w:rsid w:val="00B9793F"/>
    <w:pPr>
      <w:widowControl/>
      <w:spacing w:beforeAutospacing="1" w:afterAutospacing="1"/>
    </w:pPr>
    <w:rPr>
      <w:lang w:val="fr-BE" w:eastAsia="fr-BE"/>
    </w:rPr>
  </w:style>
  <w:style w:type="character" w:customStyle="1" w:styleId="highlight">
    <w:name w:val="highlight"/>
    <w:uiPriority w:val="99"/>
    <w:rsid w:val="00B9793F"/>
  </w:style>
  <w:style w:type="paragraph" w:styleId="ListParagraph">
    <w:name w:val="List Paragraph"/>
    <w:basedOn w:val="Normal"/>
    <w:uiPriority w:val="99"/>
    <w:qFormat/>
    <w:rsid w:val="00B9793F"/>
    <w:pPr>
      <w:ind w:left="720"/>
    </w:pPr>
  </w:style>
  <w:style w:type="paragraph" w:styleId="Revision">
    <w:name w:val="Revision"/>
    <w:hidden/>
    <w:uiPriority w:val="99"/>
    <w:semiHidden/>
    <w:rsid w:val="00D97139"/>
    <w:rPr>
      <w:sz w:val="24"/>
      <w:szCs w:val="24"/>
      <w:lang w:val="en-US" w:eastAsia="en-US"/>
    </w:rPr>
  </w:style>
  <w:style w:type="character" w:customStyle="1" w:styleId="yiv1253775671styleverdana">
    <w:name w:val="yiv1253775671styleverdana"/>
    <w:basedOn w:val="DefaultParagraphFont"/>
    <w:uiPriority w:val="99"/>
    <w:rsid w:val="0051212F"/>
  </w:style>
  <w:style w:type="paragraph" w:styleId="ListBullet">
    <w:name w:val="List Bullet"/>
    <w:basedOn w:val="Normal"/>
    <w:uiPriority w:val="99"/>
    <w:locked/>
    <w:rsid w:val="0093077C"/>
    <w:pPr>
      <w:widowControl/>
      <w:numPr>
        <w:numId w:val="1"/>
      </w:numPr>
      <w:tabs>
        <w:tab w:val="clear" w:pos="360"/>
        <w:tab w:val="num" w:pos="283"/>
      </w:tabs>
      <w:spacing w:before="0" w:after="240"/>
      <w:ind w:left="283" w:hanging="283"/>
      <w:jc w:val="both"/>
    </w:pPr>
    <w:rPr>
      <w:rFonts w:ascii="Arial" w:hAnsi="Arial" w:cs="Arial"/>
      <w:lang w:val="en-GB"/>
    </w:rPr>
  </w:style>
</w:styles>
</file>

<file path=word/webSettings.xml><?xml version="1.0" encoding="utf-8"?>
<w:webSettings xmlns:r="http://schemas.openxmlformats.org/officeDocument/2006/relationships" xmlns:w="http://schemas.openxmlformats.org/wordprocessingml/2006/main">
  <w:divs>
    <w:div w:id="1498380950">
      <w:marLeft w:val="0"/>
      <w:marRight w:val="0"/>
      <w:marTop w:val="0"/>
      <w:marBottom w:val="0"/>
      <w:divBdr>
        <w:top w:val="none" w:sz="0" w:space="0" w:color="auto"/>
        <w:left w:val="none" w:sz="0" w:space="0" w:color="auto"/>
        <w:bottom w:val="none" w:sz="0" w:space="0" w:color="auto"/>
        <w:right w:val="none" w:sz="0" w:space="0" w:color="auto"/>
      </w:divBdr>
    </w:div>
    <w:div w:id="1498380951">
      <w:marLeft w:val="0"/>
      <w:marRight w:val="0"/>
      <w:marTop w:val="0"/>
      <w:marBottom w:val="0"/>
      <w:divBdr>
        <w:top w:val="none" w:sz="0" w:space="0" w:color="auto"/>
        <w:left w:val="none" w:sz="0" w:space="0" w:color="auto"/>
        <w:bottom w:val="none" w:sz="0" w:space="0" w:color="auto"/>
        <w:right w:val="none" w:sz="0" w:space="0" w:color="auto"/>
      </w:divBdr>
    </w:div>
    <w:div w:id="1498380952">
      <w:marLeft w:val="0"/>
      <w:marRight w:val="0"/>
      <w:marTop w:val="0"/>
      <w:marBottom w:val="0"/>
      <w:divBdr>
        <w:top w:val="none" w:sz="0" w:space="0" w:color="auto"/>
        <w:left w:val="none" w:sz="0" w:space="0" w:color="auto"/>
        <w:bottom w:val="none" w:sz="0" w:space="0" w:color="auto"/>
        <w:right w:val="none" w:sz="0" w:space="0" w:color="auto"/>
      </w:divBdr>
    </w:div>
    <w:div w:id="1498380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ywater-resen.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google.com/store/apps/details?id=appholywaterresenonline.wpapp" TargetMode="External"/><Relationship Id="rId12" Type="http://schemas.openxmlformats.org/officeDocument/2006/relationships/hyperlink" Target="http://ec.europa.eu/budget/graphs/inforeur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peaid/prag/annexes.do?group=B" TargetMode="External"/><Relationship Id="rId4" Type="http://schemas.openxmlformats.org/officeDocument/2006/relationships/webSettings" Target="webSettings.xml"/><Relationship Id="rId9" Type="http://schemas.openxmlformats.org/officeDocument/2006/relationships/hyperlink" Target="https://ec.europa.eu/international-partnerships/comm-visibility-requirements_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2119</Words>
  <Characters>12084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4</cp:revision>
  <cp:lastPrinted>2016-05-31T08:36:00Z</cp:lastPrinted>
  <dcterms:created xsi:type="dcterms:W3CDTF">2022-07-27T12:40:00Z</dcterms:created>
  <dcterms:modified xsi:type="dcterms:W3CDTF">2022-07-28T07:10:00Z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