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2D" w:rsidRPr="000D712D" w:rsidRDefault="000D712D">
      <w:pPr>
        <w:jc w:val="center"/>
        <w:rPr>
          <w:sz w:val="22"/>
          <w:szCs w:val="22"/>
        </w:rPr>
      </w:pPr>
    </w:p>
    <w:p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rsidR="00810A6E" w:rsidRPr="000D712D" w:rsidRDefault="001A2B6F" w:rsidP="001A2B6F">
      <w:pPr>
        <w:jc w:val="center"/>
        <w:rPr>
          <w:sz w:val="22"/>
          <w:szCs w:val="22"/>
        </w:rPr>
      </w:pPr>
      <w:r>
        <w:rPr>
          <w:b/>
          <w:szCs w:val="22"/>
        </w:rPr>
        <w:t>Supply of containers for collecting organic waste</w:t>
      </w:r>
      <w:r w:rsidR="00810A6E" w:rsidRPr="000D712D">
        <w:rPr>
          <w:rStyle w:val="Strong"/>
          <w:sz w:val="22"/>
          <w:szCs w:val="22"/>
        </w:rPr>
        <w:br/>
      </w:r>
      <w:r>
        <w:rPr>
          <w:b/>
        </w:rPr>
        <w:t>Resen The Republic of North Macedonia</w:t>
      </w:r>
    </w:p>
    <w:p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rsidR="00810A6E" w:rsidRPr="000D712D" w:rsidRDefault="001A2B6F">
      <w:pPr>
        <w:pStyle w:val="Blockquote"/>
        <w:ind w:left="284"/>
        <w:rPr>
          <w:sz w:val="22"/>
          <w:szCs w:val="22"/>
        </w:rPr>
      </w:pPr>
      <w:r>
        <w:rPr>
          <w:sz w:val="22"/>
          <w:szCs w:val="22"/>
        </w:rPr>
        <w:t xml:space="preserve">     Single tender</w:t>
      </w:r>
    </w:p>
    <w:p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rsidR="001A2B6F" w:rsidRPr="001A2B6F" w:rsidRDefault="001A2B6F">
      <w:pPr>
        <w:ind w:left="709" w:hanging="425"/>
        <w:outlineLvl w:val="0"/>
        <w:rPr>
          <w:bCs/>
          <w:sz w:val="22"/>
          <w:szCs w:val="22"/>
        </w:rPr>
      </w:pPr>
      <w:r>
        <w:rPr>
          <w:b/>
          <w:bCs/>
          <w:sz w:val="22"/>
          <w:szCs w:val="22"/>
        </w:rPr>
        <w:t xml:space="preserve">    </w:t>
      </w:r>
      <w:r w:rsidRPr="001A2B6F">
        <w:rPr>
          <w:bCs/>
          <w:sz w:val="22"/>
          <w:szCs w:val="22"/>
        </w:rPr>
        <w:t>CN – SO 2.2 -SC 008/TD1, 26.03.2021</w:t>
      </w:r>
    </w:p>
    <w:p w:rsidR="00810A6E" w:rsidRPr="000D712D" w:rsidRDefault="00810A6E">
      <w:pPr>
        <w:ind w:left="709" w:hanging="425"/>
        <w:outlineLvl w:val="0"/>
        <w:rPr>
          <w:rStyle w:val="Strong"/>
          <w:sz w:val="22"/>
          <w:szCs w:val="22"/>
        </w:rPr>
      </w:pPr>
      <w:r w:rsidRPr="000D712D">
        <w:rPr>
          <w:rStyle w:val="Strong"/>
          <w:sz w:val="22"/>
          <w:szCs w:val="22"/>
        </w:rPr>
        <w:t>3. Lot number and lot title</w:t>
      </w:r>
    </w:p>
    <w:p w:rsidR="00810A6E" w:rsidRPr="000D712D" w:rsidRDefault="001A2B6F">
      <w:pPr>
        <w:pStyle w:val="Blockquote"/>
        <w:ind w:left="284"/>
        <w:rPr>
          <w:sz w:val="22"/>
          <w:szCs w:val="22"/>
        </w:rPr>
      </w:pPr>
      <w:r>
        <w:rPr>
          <w:sz w:val="22"/>
        </w:rPr>
        <w:t xml:space="preserve">     N</w:t>
      </w:r>
      <w:r w:rsidRPr="00F93D1F">
        <w:rPr>
          <w:sz w:val="22"/>
        </w:rPr>
        <w:t>ot divided into lots</w:t>
      </w:r>
    </w:p>
    <w:p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rsidR="009347B4" w:rsidRPr="00204689" w:rsidRDefault="00E13727" w:rsidP="00BE1BC8">
      <w:pPr>
        <w:pStyle w:val="Blockquote"/>
        <w:spacing w:before="120" w:after="120"/>
        <w:ind w:left="426"/>
        <w:jc w:val="both"/>
        <w:rPr>
          <w:sz w:val="22"/>
          <w:szCs w:val="22"/>
        </w:rPr>
      </w:pPr>
      <w:r w:rsidRPr="001A2B6F">
        <w:rPr>
          <w:bCs/>
          <w:sz w:val="22"/>
          <w:szCs w:val="22"/>
        </w:rPr>
        <w:t>CN – SO 2.2 -SC 008/TD1</w:t>
      </w:r>
      <w:r>
        <w:rPr>
          <w:bCs/>
          <w:sz w:val="22"/>
          <w:szCs w:val="22"/>
        </w:rPr>
        <w:t xml:space="preserve">/13,  </w:t>
      </w:r>
      <w:r w:rsidR="001A2B6F">
        <w:rPr>
          <w:sz w:val="22"/>
          <w:szCs w:val="22"/>
        </w:rPr>
        <w:t xml:space="preserve">EUR </w:t>
      </w:r>
      <w:r w:rsidR="00AC4543">
        <w:rPr>
          <w:sz w:val="22"/>
          <w:szCs w:val="22"/>
        </w:rPr>
        <w:t>1</w:t>
      </w:r>
      <w:r w:rsidR="001A2B6F">
        <w:rPr>
          <w:sz w:val="22"/>
          <w:szCs w:val="22"/>
        </w:rPr>
        <w:t>3.</w:t>
      </w:r>
      <w:r w:rsidR="00AC4543">
        <w:rPr>
          <w:sz w:val="22"/>
          <w:szCs w:val="22"/>
        </w:rPr>
        <w:t>7</w:t>
      </w:r>
      <w:r w:rsidR="001A2B6F">
        <w:rPr>
          <w:sz w:val="22"/>
          <w:szCs w:val="22"/>
        </w:rPr>
        <w:t>00,00</w:t>
      </w:r>
    </w:p>
    <w:p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rsidR="00810A6E" w:rsidRPr="000D712D" w:rsidRDefault="001A2B6F">
      <w:pPr>
        <w:pStyle w:val="Blockquote"/>
        <w:ind w:left="284"/>
        <w:rPr>
          <w:sz w:val="22"/>
          <w:szCs w:val="22"/>
        </w:rPr>
      </w:pPr>
      <w:r>
        <w:rPr>
          <w:sz w:val="22"/>
          <w:szCs w:val="22"/>
        </w:rPr>
        <w:t xml:space="preserve">     23.04.2021</w:t>
      </w:r>
    </w:p>
    <w:p w:rsidR="00810A6E" w:rsidRPr="000D712D" w:rsidRDefault="00810A6E">
      <w:pPr>
        <w:ind w:left="709" w:hanging="425"/>
        <w:outlineLvl w:val="0"/>
        <w:rPr>
          <w:rStyle w:val="Strong"/>
          <w:sz w:val="22"/>
          <w:szCs w:val="22"/>
        </w:rPr>
      </w:pPr>
      <w:r w:rsidRPr="000D712D">
        <w:rPr>
          <w:rStyle w:val="Strong"/>
          <w:sz w:val="22"/>
          <w:szCs w:val="22"/>
        </w:rPr>
        <w:t>6. Number of tenders received</w:t>
      </w:r>
    </w:p>
    <w:p w:rsidR="00810A6E" w:rsidRPr="000D712D" w:rsidRDefault="001A2B6F">
      <w:pPr>
        <w:pStyle w:val="Blockquote"/>
        <w:ind w:left="284"/>
        <w:rPr>
          <w:sz w:val="22"/>
          <w:szCs w:val="22"/>
        </w:rPr>
      </w:pPr>
      <w:r>
        <w:rPr>
          <w:sz w:val="22"/>
          <w:szCs w:val="22"/>
        </w:rPr>
        <w:t xml:space="preserve">     1 (one) tender received</w:t>
      </w:r>
    </w:p>
    <w:p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rsidR="001A2B6F" w:rsidRDefault="001A2B6F" w:rsidP="001A2B6F">
      <w:pPr>
        <w:spacing w:before="240" w:after="0"/>
        <w:rPr>
          <w:sz w:val="22"/>
          <w:szCs w:val="22"/>
          <w:lang w:val="en-GB"/>
        </w:rPr>
      </w:pPr>
      <w:r>
        <w:rPr>
          <w:sz w:val="22"/>
          <w:szCs w:val="22"/>
          <w:lang w:val="en-GB"/>
        </w:rPr>
        <w:t xml:space="preserve">         Alki Alelsandar Dooel</w:t>
      </w:r>
    </w:p>
    <w:p w:rsidR="001A2B6F" w:rsidRPr="000514D0" w:rsidRDefault="001A2B6F" w:rsidP="001A2B6F">
      <w:pPr>
        <w:spacing w:before="0" w:after="0"/>
        <w:ind w:left="476"/>
        <w:jc w:val="both"/>
        <w:rPr>
          <w:sz w:val="22"/>
          <w:szCs w:val="22"/>
          <w:lang w:val="en-GB"/>
        </w:rPr>
      </w:pPr>
      <w:r w:rsidRPr="000514D0">
        <w:rPr>
          <w:sz w:val="22"/>
          <w:szCs w:val="22"/>
          <w:lang w:val="en-GB"/>
        </w:rPr>
        <w:t>Bul. “Jane Sandanski” No.107/1-16</w:t>
      </w:r>
    </w:p>
    <w:p w:rsidR="001A2B6F" w:rsidRPr="000514D0" w:rsidRDefault="001A2B6F" w:rsidP="001A2B6F">
      <w:pPr>
        <w:spacing w:before="0" w:after="0"/>
        <w:ind w:left="476"/>
        <w:jc w:val="both"/>
        <w:rPr>
          <w:sz w:val="22"/>
          <w:szCs w:val="22"/>
          <w:lang w:val="en-GB"/>
        </w:rPr>
      </w:pPr>
      <w:r w:rsidRPr="000514D0">
        <w:rPr>
          <w:sz w:val="22"/>
          <w:szCs w:val="22"/>
          <w:lang w:val="en-GB"/>
        </w:rPr>
        <w:t>1000 Skopje</w:t>
      </w:r>
    </w:p>
    <w:p w:rsidR="001A2B6F" w:rsidRPr="000514D0" w:rsidRDefault="001A2B6F" w:rsidP="001A2B6F">
      <w:pPr>
        <w:spacing w:before="0" w:after="0"/>
        <w:ind w:left="476"/>
        <w:jc w:val="both"/>
        <w:rPr>
          <w:sz w:val="22"/>
          <w:szCs w:val="22"/>
          <w:lang w:val="en-GB"/>
        </w:rPr>
      </w:pPr>
      <w:r w:rsidRPr="000514D0">
        <w:rPr>
          <w:sz w:val="22"/>
          <w:szCs w:val="22"/>
          <w:lang w:val="en-GB"/>
        </w:rPr>
        <w:t>Republic of North Macedonia</w:t>
      </w:r>
    </w:p>
    <w:p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rsidR="00AE7D74" w:rsidRPr="000D712D" w:rsidRDefault="001A2B6F" w:rsidP="001A2B6F">
      <w:pPr>
        <w:pStyle w:val="Blockquote"/>
        <w:ind w:left="504"/>
        <w:rPr>
          <w:sz w:val="22"/>
          <w:szCs w:val="22"/>
        </w:rPr>
      </w:pPr>
      <w:r>
        <w:rPr>
          <w:sz w:val="22"/>
          <w:szCs w:val="22"/>
        </w:rPr>
        <w:t>45 days</w:t>
      </w:r>
    </w:p>
    <w:p w:rsidR="00AE7D74"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1A2B6F" w:rsidRPr="00B829D5" w:rsidRDefault="001A2B6F" w:rsidP="001A2B6F">
      <w:pPr>
        <w:snapToGrid w:val="0"/>
        <w:spacing w:before="0" w:after="0"/>
        <w:ind w:left="518"/>
        <w:jc w:val="both"/>
        <w:rPr>
          <w:sz w:val="22"/>
          <w:szCs w:val="22"/>
          <w:lang w:val="en-GB"/>
        </w:rPr>
      </w:pPr>
      <w:r w:rsidRPr="00B829D5">
        <w:rPr>
          <w:sz w:val="22"/>
          <w:szCs w:val="22"/>
          <w:lang w:val="en-GB"/>
        </w:rPr>
        <w:t>Public Communal Enterprise “Proleter”</w:t>
      </w:r>
    </w:p>
    <w:p w:rsidR="001A2B6F" w:rsidRPr="00B829D5" w:rsidRDefault="001A2B6F" w:rsidP="001A2B6F">
      <w:pPr>
        <w:snapToGrid w:val="0"/>
        <w:spacing w:before="0" w:after="0"/>
        <w:ind w:left="518"/>
        <w:jc w:val="both"/>
        <w:rPr>
          <w:sz w:val="22"/>
          <w:szCs w:val="22"/>
          <w:lang w:val="en-GB"/>
        </w:rPr>
      </w:pPr>
      <w:r w:rsidRPr="00B829D5">
        <w:rPr>
          <w:sz w:val="22"/>
          <w:szCs w:val="22"/>
          <w:lang w:val="en-GB"/>
        </w:rPr>
        <w:t>St. ”Obikolna” 22, 7310 Resen</w:t>
      </w:r>
    </w:p>
    <w:p w:rsidR="001A2B6F" w:rsidRPr="00B829D5" w:rsidRDefault="001A2B6F" w:rsidP="001A2B6F">
      <w:pPr>
        <w:snapToGrid w:val="0"/>
        <w:spacing w:before="0" w:after="0"/>
        <w:ind w:left="532"/>
        <w:jc w:val="both"/>
        <w:rPr>
          <w:sz w:val="22"/>
          <w:szCs w:val="22"/>
          <w:lang w:val="en-GB"/>
        </w:rPr>
      </w:pPr>
      <w:r w:rsidRPr="00B829D5">
        <w:rPr>
          <w:sz w:val="22"/>
          <w:szCs w:val="22"/>
          <w:lang w:val="en-GB"/>
        </w:rPr>
        <w:t>Republic of North Macedonia</w:t>
      </w:r>
    </w:p>
    <w:p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rsidR="001A2B6F" w:rsidRPr="00EA0609" w:rsidRDefault="001A2B6F" w:rsidP="001A2B6F">
      <w:pPr>
        <w:ind w:left="426"/>
        <w:jc w:val="both"/>
        <w:rPr>
          <w:sz w:val="22"/>
          <w:szCs w:val="22"/>
          <w:lang w:val="en-GB"/>
        </w:rPr>
      </w:pPr>
      <w:r w:rsidRPr="00B86A0F">
        <w:rPr>
          <w:sz w:val="22"/>
          <w:szCs w:val="22"/>
          <w:lang w:val="en-GB"/>
        </w:rPr>
        <w:t xml:space="preserve">Regulation (EU) No 236/2014 of the European Parliament and of the Council of 11 March 2014 laying down common rules and procedures for the implementation of the Union's instruments for financing external action and Regulation (EU) No 231/2014 of the European Parliament and of the </w:t>
      </w:r>
      <w:r w:rsidRPr="00B86A0F">
        <w:rPr>
          <w:sz w:val="22"/>
          <w:szCs w:val="22"/>
          <w:lang w:val="en-GB"/>
        </w:rPr>
        <w:lastRenderedPageBreak/>
        <w:t>Council of 11 March 2014 establishing an Instrument for Pre-accession Assistance (IPA II); Commission Implementing Regulation (EU) No 447/2014 of 2 May 2014 on the specific rules for implementing Regulation (EU) No 231/2014 of the European Parliament and of the Council of 11th March 2014 establishing an Instrument for Pre-accession Assistance (IPA II) - See Annex A2 of the practical guide.</w:t>
      </w:r>
    </w:p>
    <w:sectPr w:rsidR="001A2B6F" w:rsidRPr="00EA0609" w:rsidSect="001A2B6F">
      <w:headerReference w:type="default" r:id="rId7"/>
      <w:footerReference w:type="default" r:id="rId8"/>
      <w:pgSz w:w="12240" w:h="15840"/>
      <w:pgMar w:top="1440" w:right="1440" w:bottom="1440" w:left="1440" w:header="709" w:footer="55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65" w:rsidRDefault="00E17165">
      <w:r>
        <w:separator/>
      </w:r>
    </w:p>
  </w:endnote>
  <w:endnote w:type="continuationSeparator" w:id="1">
    <w:p w:rsidR="00E17165" w:rsidRDefault="00E17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bookmarkStart w:id="0" w:name="_GoBack"/>
    <w:bookmarkEnd w:id="0"/>
    <w:r w:rsidR="00F075CC" w:rsidRPr="00F075CC">
      <w:rPr>
        <w:b/>
        <w:sz w:val="18"/>
        <w:szCs w:val="18"/>
        <w:lang w:val="en-GB"/>
      </w:rPr>
      <w:tab/>
    </w:r>
    <w:r w:rsidR="00F075CC" w:rsidRPr="00F075CC">
      <w:rPr>
        <w:sz w:val="18"/>
        <w:szCs w:val="18"/>
        <w:lang w:val="en-GB"/>
      </w:rPr>
      <w:t xml:space="preserve">Page </w:t>
    </w:r>
    <w:r w:rsidR="002941EE" w:rsidRPr="00F075CC">
      <w:rPr>
        <w:sz w:val="18"/>
        <w:szCs w:val="18"/>
        <w:lang w:val="en-GB"/>
      </w:rPr>
      <w:fldChar w:fldCharType="begin"/>
    </w:r>
    <w:r w:rsidR="00F075CC" w:rsidRPr="00F075CC">
      <w:rPr>
        <w:sz w:val="18"/>
        <w:szCs w:val="18"/>
        <w:lang w:val="en-GB"/>
      </w:rPr>
      <w:instrText xml:space="preserve"> PAGE </w:instrText>
    </w:r>
    <w:r w:rsidR="002941EE" w:rsidRPr="00F075CC">
      <w:rPr>
        <w:sz w:val="18"/>
        <w:szCs w:val="18"/>
        <w:lang w:val="en-GB"/>
      </w:rPr>
      <w:fldChar w:fldCharType="separate"/>
    </w:r>
    <w:r w:rsidR="00E13727">
      <w:rPr>
        <w:noProof/>
        <w:sz w:val="18"/>
        <w:szCs w:val="18"/>
        <w:lang w:val="en-GB"/>
      </w:rPr>
      <w:t>1</w:t>
    </w:r>
    <w:r w:rsidR="002941EE" w:rsidRPr="00F075CC">
      <w:rPr>
        <w:sz w:val="18"/>
        <w:szCs w:val="18"/>
        <w:lang w:val="en-GB"/>
      </w:rPr>
      <w:fldChar w:fldCharType="end"/>
    </w:r>
    <w:r w:rsidR="00F075CC" w:rsidRPr="00F075CC">
      <w:rPr>
        <w:sz w:val="18"/>
        <w:szCs w:val="18"/>
        <w:lang w:val="en-GB"/>
      </w:rPr>
      <w:t xml:space="preserve"> of </w:t>
    </w:r>
    <w:r w:rsidR="002941EE" w:rsidRPr="00F075CC">
      <w:rPr>
        <w:sz w:val="18"/>
        <w:szCs w:val="18"/>
        <w:lang w:val="en-GB"/>
      </w:rPr>
      <w:fldChar w:fldCharType="begin"/>
    </w:r>
    <w:r w:rsidR="00F075CC" w:rsidRPr="00F075CC">
      <w:rPr>
        <w:sz w:val="18"/>
        <w:szCs w:val="18"/>
        <w:lang w:val="en-GB"/>
      </w:rPr>
      <w:instrText xml:space="preserve"> NUMPAGES </w:instrText>
    </w:r>
    <w:r w:rsidR="002941EE" w:rsidRPr="00F075CC">
      <w:rPr>
        <w:sz w:val="18"/>
        <w:szCs w:val="18"/>
        <w:lang w:val="en-GB"/>
      </w:rPr>
      <w:fldChar w:fldCharType="separate"/>
    </w:r>
    <w:r w:rsidR="00E13727">
      <w:rPr>
        <w:noProof/>
        <w:sz w:val="18"/>
        <w:szCs w:val="18"/>
        <w:lang w:val="en-GB"/>
      </w:rPr>
      <w:t>2</w:t>
    </w:r>
    <w:r w:rsidR="002941EE" w:rsidRPr="00F075CC">
      <w:rPr>
        <w:sz w:val="18"/>
        <w:szCs w:val="18"/>
        <w:lang w:val="en-GB"/>
      </w:rPr>
      <w:fldChar w:fldCharType="end"/>
    </w:r>
  </w:p>
  <w:p w:rsidR="00810A6E" w:rsidRPr="00D02B28" w:rsidRDefault="002941EE" w:rsidP="00F075CC">
    <w:pPr>
      <w:widowControl/>
      <w:spacing w:before="0" w:after="0"/>
      <w:rPr>
        <w:lang w:val="en-GB"/>
      </w:rPr>
    </w:pPr>
    <w:r w:rsidRPr="00F075CC">
      <w:rPr>
        <w:sz w:val="18"/>
        <w:szCs w:val="18"/>
        <w:lang w:val="en-GB"/>
      </w:rPr>
      <w:fldChar w:fldCharType="begin"/>
    </w:r>
    <w:r w:rsidR="00F075CC" w:rsidRPr="00F075CC">
      <w:rPr>
        <w:sz w:val="18"/>
        <w:szCs w:val="18"/>
        <w:lang w:val="en-GB"/>
      </w:rPr>
      <w:instrText xml:space="preserve"> FILENAME </w:instrText>
    </w:r>
    <w:r w:rsidRPr="00F075CC">
      <w:rPr>
        <w:sz w:val="18"/>
        <w:szCs w:val="18"/>
        <w:lang w:val="en-GB"/>
      </w:rPr>
      <w:fldChar w:fldCharType="separate"/>
    </w:r>
    <w:r w:rsidR="00315481">
      <w:rPr>
        <w:noProof/>
        <w:sz w:val="18"/>
        <w:szCs w:val="18"/>
        <w:lang w:val="en-GB"/>
      </w:rPr>
      <w:t>c9b_awardnotice_en.docx</w:t>
    </w:r>
    <w:r w:rsidRPr="00F075CC">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65" w:rsidRDefault="00E17165">
      <w:r>
        <w:separator/>
      </w:r>
    </w:p>
  </w:footnote>
  <w:footnote w:type="continuationSeparator" w:id="1">
    <w:p w:rsidR="00E17165" w:rsidRDefault="00E17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D9" w:rsidRDefault="001A2B6F">
    <w:pPr>
      <w:pStyle w:val="Header"/>
    </w:pPr>
    <w:r w:rsidRPr="001A2B6F">
      <w:rPr>
        <w:noProof/>
        <w:lang w:val="en-GB" w:eastAsia="en-GB"/>
      </w:rPr>
      <w:drawing>
        <wp:inline distT="0" distB="0" distL="0" distR="0">
          <wp:extent cx="695325" cy="695325"/>
          <wp:effectExtent l="19050" t="0" r="9525" b="0"/>
          <wp:docPr id="15"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r w:rsidRPr="001A2B6F">
      <w:rPr>
        <w:noProof/>
        <w:lang w:val="en-GB" w:eastAsia="en-GB"/>
      </w:rPr>
      <w:drawing>
        <wp:inline distT="0" distB="0" distL="0" distR="0">
          <wp:extent cx="2818438" cy="695325"/>
          <wp:effectExtent l="19050" t="0" r="962"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6698" cy="699830"/>
                  </a:xfrm>
                  <a:prstGeom prst="rect">
                    <a:avLst/>
                  </a:prstGeom>
                  <a:noFill/>
                </pic:spPr>
              </pic:pic>
            </a:graphicData>
          </a:graphic>
        </wp:inline>
      </w:drawing>
    </w:r>
    <w:r>
      <w:t xml:space="preserve"> </w:t>
    </w:r>
    <w:r w:rsidRPr="001A2B6F">
      <w:rPr>
        <w:noProof/>
        <w:lang w:val="en-GB" w:eastAsia="en-GB"/>
      </w:rPr>
      <w:drawing>
        <wp:inline distT="0" distB="0" distL="0" distR="0">
          <wp:extent cx="1914525" cy="552450"/>
          <wp:effectExtent l="19050" t="0" r="9525" b="0"/>
          <wp:docPr id="17"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4525"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467624"/>
    <w:rsid w:val="0000046A"/>
    <w:rsid w:val="0004567D"/>
    <w:rsid w:val="0008681F"/>
    <w:rsid w:val="000D4AD4"/>
    <w:rsid w:val="000D712D"/>
    <w:rsid w:val="0019719C"/>
    <w:rsid w:val="001A2B6F"/>
    <w:rsid w:val="001B097A"/>
    <w:rsid w:val="001B2813"/>
    <w:rsid w:val="001C132D"/>
    <w:rsid w:val="00207784"/>
    <w:rsid w:val="00233766"/>
    <w:rsid w:val="00254C87"/>
    <w:rsid w:val="00293A3F"/>
    <w:rsid w:val="002941EE"/>
    <w:rsid w:val="002D48D6"/>
    <w:rsid w:val="002D5455"/>
    <w:rsid w:val="002E6A8E"/>
    <w:rsid w:val="00315481"/>
    <w:rsid w:val="00352080"/>
    <w:rsid w:val="00374F88"/>
    <w:rsid w:val="003811EE"/>
    <w:rsid w:val="003F6495"/>
    <w:rsid w:val="00467624"/>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64687"/>
    <w:rsid w:val="00877CE4"/>
    <w:rsid w:val="00883912"/>
    <w:rsid w:val="0088476E"/>
    <w:rsid w:val="00897325"/>
    <w:rsid w:val="0092281D"/>
    <w:rsid w:val="009347B4"/>
    <w:rsid w:val="009D28EC"/>
    <w:rsid w:val="009E0B83"/>
    <w:rsid w:val="009E23A5"/>
    <w:rsid w:val="009F6432"/>
    <w:rsid w:val="009F6594"/>
    <w:rsid w:val="00A34FE4"/>
    <w:rsid w:val="00A64DBF"/>
    <w:rsid w:val="00A9302A"/>
    <w:rsid w:val="00AA23B0"/>
    <w:rsid w:val="00AB59AB"/>
    <w:rsid w:val="00AC1C2D"/>
    <w:rsid w:val="00AC4543"/>
    <w:rsid w:val="00AE7D74"/>
    <w:rsid w:val="00B604BD"/>
    <w:rsid w:val="00B608ED"/>
    <w:rsid w:val="00B66960"/>
    <w:rsid w:val="00BB01D3"/>
    <w:rsid w:val="00BD6EF2"/>
    <w:rsid w:val="00BE1BC8"/>
    <w:rsid w:val="00BE49B3"/>
    <w:rsid w:val="00C55650"/>
    <w:rsid w:val="00CB2CF6"/>
    <w:rsid w:val="00CB5641"/>
    <w:rsid w:val="00CE2A3B"/>
    <w:rsid w:val="00CE32E2"/>
    <w:rsid w:val="00D02B28"/>
    <w:rsid w:val="00D56E3F"/>
    <w:rsid w:val="00D812DF"/>
    <w:rsid w:val="00DA4CBA"/>
    <w:rsid w:val="00DB14B3"/>
    <w:rsid w:val="00DB5155"/>
    <w:rsid w:val="00DD28D9"/>
    <w:rsid w:val="00DD7607"/>
    <w:rsid w:val="00E00F3E"/>
    <w:rsid w:val="00E07E80"/>
    <w:rsid w:val="00E13727"/>
    <w:rsid w:val="00E17165"/>
    <w:rsid w:val="00E31D1E"/>
    <w:rsid w:val="00E43500"/>
    <w:rsid w:val="00E55682"/>
    <w:rsid w:val="00E62710"/>
    <w:rsid w:val="00E62D35"/>
    <w:rsid w:val="00E82BCF"/>
    <w:rsid w:val="00ED46F2"/>
    <w:rsid w:val="00EF0948"/>
    <w:rsid w:val="00F075CC"/>
    <w:rsid w:val="00F12C34"/>
    <w:rsid w:val="00F176FA"/>
    <w:rsid w:val="00F2683E"/>
    <w:rsid w:val="00F321C1"/>
    <w:rsid w:val="00F703DF"/>
    <w:rsid w:val="00F743E1"/>
    <w:rsid w:val="00FD7344"/>
    <w:rsid w:val="00FE07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FE4"/>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34FE4"/>
    <w:pPr>
      <w:spacing w:before="0" w:after="0"/>
    </w:pPr>
  </w:style>
  <w:style w:type="paragraph" w:customStyle="1" w:styleId="DefinitionList">
    <w:name w:val="Definition List"/>
    <w:basedOn w:val="Normal"/>
    <w:next w:val="DefinitionTerm"/>
    <w:rsid w:val="00A34FE4"/>
    <w:pPr>
      <w:spacing w:before="0" w:after="0"/>
      <w:ind w:left="360"/>
    </w:pPr>
  </w:style>
  <w:style w:type="character" w:customStyle="1" w:styleId="Definition">
    <w:name w:val="Definition"/>
    <w:rsid w:val="00A34FE4"/>
    <w:rPr>
      <w:i/>
    </w:rPr>
  </w:style>
  <w:style w:type="paragraph" w:customStyle="1" w:styleId="H1">
    <w:name w:val="H1"/>
    <w:basedOn w:val="Normal"/>
    <w:next w:val="Normal"/>
    <w:rsid w:val="00A34FE4"/>
    <w:pPr>
      <w:keepNext/>
      <w:outlineLvl w:val="1"/>
    </w:pPr>
    <w:rPr>
      <w:b/>
      <w:kern w:val="36"/>
      <w:sz w:val="48"/>
    </w:rPr>
  </w:style>
  <w:style w:type="paragraph" w:customStyle="1" w:styleId="H2">
    <w:name w:val="H2"/>
    <w:basedOn w:val="Normal"/>
    <w:next w:val="Normal"/>
    <w:rsid w:val="00A34FE4"/>
    <w:pPr>
      <w:keepNext/>
      <w:outlineLvl w:val="2"/>
    </w:pPr>
    <w:rPr>
      <w:b/>
      <w:sz w:val="36"/>
    </w:rPr>
  </w:style>
  <w:style w:type="paragraph" w:customStyle="1" w:styleId="H3">
    <w:name w:val="H3"/>
    <w:basedOn w:val="Normal"/>
    <w:next w:val="Normal"/>
    <w:rsid w:val="00A34FE4"/>
    <w:pPr>
      <w:keepNext/>
      <w:outlineLvl w:val="3"/>
    </w:pPr>
    <w:rPr>
      <w:b/>
      <w:sz w:val="28"/>
    </w:rPr>
  </w:style>
  <w:style w:type="paragraph" w:customStyle="1" w:styleId="H4">
    <w:name w:val="H4"/>
    <w:basedOn w:val="Normal"/>
    <w:next w:val="Normal"/>
    <w:rsid w:val="00A34FE4"/>
    <w:pPr>
      <w:keepNext/>
      <w:outlineLvl w:val="4"/>
    </w:pPr>
    <w:rPr>
      <w:b/>
    </w:rPr>
  </w:style>
  <w:style w:type="paragraph" w:customStyle="1" w:styleId="H5">
    <w:name w:val="H5"/>
    <w:basedOn w:val="Normal"/>
    <w:next w:val="Normal"/>
    <w:rsid w:val="00A34FE4"/>
    <w:pPr>
      <w:keepNext/>
      <w:outlineLvl w:val="5"/>
    </w:pPr>
    <w:rPr>
      <w:b/>
      <w:sz w:val="20"/>
    </w:rPr>
  </w:style>
  <w:style w:type="paragraph" w:customStyle="1" w:styleId="H6">
    <w:name w:val="H6"/>
    <w:basedOn w:val="Normal"/>
    <w:next w:val="Normal"/>
    <w:rsid w:val="00A34FE4"/>
    <w:pPr>
      <w:keepNext/>
      <w:outlineLvl w:val="6"/>
    </w:pPr>
    <w:rPr>
      <w:b/>
      <w:sz w:val="16"/>
    </w:rPr>
  </w:style>
  <w:style w:type="paragraph" w:customStyle="1" w:styleId="Address">
    <w:name w:val="Address"/>
    <w:basedOn w:val="Normal"/>
    <w:next w:val="Normal"/>
    <w:rsid w:val="00A34FE4"/>
    <w:pPr>
      <w:spacing w:before="0" w:after="0"/>
    </w:pPr>
    <w:rPr>
      <w:i/>
    </w:rPr>
  </w:style>
  <w:style w:type="paragraph" w:customStyle="1" w:styleId="Blockquote">
    <w:name w:val="Blockquote"/>
    <w:basedOn w:val="Normal"/>
    <w:rsid w:val="00A34FE4"/>
    <w:pPr>
      <w:ind w:left="360" w:right="360"/>
    </w:pPr>
  </w:style>
  <w:style w:type="character" w:customStyle="1" w:styleId="CITE">
    <w:name w:val="CITE"/>
    <w:rsid w:val="00A34FE4"/>
    <w:rPr>
      <w:i/>
    </w:rPr>
  </w:style>
  <w:style w:type="character" w:customStyle="1" w:styleId="CODE">
    <w:name w:val="CODE"/>
    <w:rsid w:val="00A34FE4"/>
    <w:rPr>
      <w:rFonts w:ascii="Courier New" w:hAnsi="Courier New"/>
      <w:sz w:val="20"/>
    </w:rPr>
  </w:style>
  <w:style w:type="character" w:styleId="Emphasis">
    <w:name w:val="Emphasis"/>
    <w:qFormat/>
    <w:rsid w:val="00A34FE4"/>
    <w:rPr>
      <w:i/>
    </w:rPr>
  </w:style>
  <w:style w:type="character" w:styleId="Hyperlink">
    <w:name w:val="Hyperlink"/>
    <w:rsid w:val="00A34FE4"/>
    <w:rPr>
      <w:color w:val="0000FF"/>
      <w:u w:val="single"/>
    </w:rPr>
  </w:style>
  <w:style w:type="character" w:styleId="FollowedHyperlink">
    <w:name w:val="FollowedHyperlink"/>
    <w:rsid w:val="00A34FE4"/>
    <w:rPr>
      <w:color w:val="800080"/>
      <w:u w:val="single"/>
    </w:rPr>
  </w:style>
  <w:style w:type="character" w:customStyle="1" w:styleId="Keyboard">
    <w:name w:val="Keyboard"/>
    <w:rsid w:val="00A34FE4"/>
    <w:rPr>
      <w:rFonts w:ascii="Courier New" w:hAnsi="Courier New"/>
      <w:b/>
      <w:sz w:val="20"/>
    </w:rPr>
  </w:style>
  <w:style w:type="paragraph" w:customStyle="1" w:styleId="Preformatted">
    <w:name w:val="Preformatted"/>
    <w:basedOn w:val="Normal"/>
    <w:rsid w:val="00A34FE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A34FE4"/>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A34FE4"/>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A34FE4"/>
    <w:rPr>
      <w:rFonts w:ascii="Courier New" w:hAnsi="Courier New"/>
    </w:rPr>
  </w:style>
  <w:style w:type="character" w:styleId="Strong">
    <w:name w:val="Strong"/>
    <w:qFormat/>
    <w:rsid w:val="00A34FE4"/>
    <w:rPr>
      <w:b/>
    </w:rPr>
  </w:style>
  <w:style w:type="character" w:customStyle="1" w:styleId="Typewriter">
    <w:name w:val="Typewriter"/>
    <w:rsid w:val="00A34FE4"/>
    <w:rPr>
      <w:rFonts w:ascii="Courier New" w:hAnsi="Courier New"/>
      <w:sz w:val="20"/>
    </w:rPr>
  </w:style>
  <w:style w:type="character" w:customStyle="1" w:styleId="Variable">
    <w:name w:val="Variable"/>
    <w:rsid w:val="00A34FE4"/>
    <w:rPr>
      <w:i/>
    </w:rPr>
  </w:style>
  <w:style w:type="character" w:customStyle="1" w:styleId="HTMLMarkup">
    <w:name w:val="HTML Markup"/>
    <w:rsid w:val="00A34FE4"/>
    <w:rPr>
      <w:vanish/>
      <w:color w:val="FF0000"/>
    </w:rPr>
  </w:style>
  <w:style w:type="character" w:customStyle="1" w:styleId="Comment">
    <w:name w:val="Comment"/>
    <w:rsid w:val="00A34FE4"/>
    <w:rPr>
      <w:vanish/>
    </w:rPr>
  </w:style>
  <w:style w:type="paragraph" w:styleId="Header">
    <w:name w:val="header"/>
    <w:basedOn w:val="Normal"/>
    <w:rsid w:val="00A34FE4"/>
    <w:pPr>
      <w:tabs>
        <w:tab w:val="center" w:pos="4320"/>
        <w:tab w:val="right" w:pos="8640"/>
      </w:tabs>
    </w:pPr>
  </w:style>
  <w:style w:type="paragraph" w:styleId="Footer">
    <w:name w:val="footer"/>
    <w:basedOn w:val="Normal"/>
    <w:rsid w:val="00A34FE4"/>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 w:type="paragraph" w:styleId="BodyText">
    <w:name w:val="Body Text"/>
    <w:basedOn w:val="Normal"/>
    <w:link w:val="BodyTextChar"/>
    <w:rsid w:val="001A2B6F"/>
    <w:pPr>
      <w:spacing w:after="120"/>
    </w:pPr>
  </w:style>
  <w:style w:type="character" w:customStyle="1" w:styleId="BodyTextChar">
    <w:name w:val="Body Text Char"/>
    <w:basedOn w:val="DefaultParagraphFont"/>
    <w:link w:val="BodyText"/>
    <w:rsid w:val="001A2B6F"/>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Dona</cp:lastModifiedBy>
  <cp:revision>7</cp:revision>
  <cp:lastPrinted>2021-04-22T09:14:00Z</cp:lastPrinted>
  <dcterms:created xsi:type="dcterms:W3CDTF">2021-04-22T07:13:00Z</dcterms:created>
  <dcterms:modified xsi:type="dcterms:W3CDTF">2021-04-23T11:02:00Z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